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948"/>
        <w:gridCol w:w="986"/>
        <w:gridCol w:w="817"/>
        <w:gridCol w:w="817"/>
        <w:gridCol w:w="937"/>
        <w:gridCol w:w="616"/>
        <w:gridCol w:w="616"/>
        <w:gridCol w:w="4169"/>
        <w:gridCol w:w="4268"/>
      </w:tblGrid>
      <w:tr w:rsidR="004C135A" w:rsidTr="002F712E">
        <w:trPr>
          <w:trHeight w:val="499"/>
        </w:trPr>
        <w:tc>
          <w:tcPr>
            <w:tcW w:w="5000" w:type="pct"/>
            <w:gridSpan w:val="9"/>
            <w:tcBorders>
              <w:top w:val="nil"/>
              <w:left w:val="nil"/>
              <w:bottom w:val="single" w:sz="4" w:space="0" w:color="auto"/>
              <w:right w:val="nil"/>
            </w:tcBorders>
            <w:noWrap/>
            <w:vAlign w:val="bottom"/>
          </w:tcPr>
          <w:p w:rsidR="004C135A" w:rsidRDefault="004C135A" w:rsidP="002F712E">
            <w:pPr>
              <w:widowControl/>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2022年部门整体绩效评价指标体系评分表</w:t>
            </w:r>
          </w:p>
        </w:tc>
      </w:tr>
      <w:tr w:rsidR="004C135A" w:rsidTr="002F712E">
        <w:trPr>
          <w:trHeight w:val="470"/>
        </w:trPr>
        <w:tc>
          <w:tcPr>
            <w:tcW w:w="5000" w:type="pct"/>
            <w:gridSpan w:val="9"/>
            <w:tcBorders>
              <w:top w:val="single" w:sz="4" w:space="0" w:color="auto"/>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一、</w:t>
            </w:r>
            <w:r>
              <w:rPr>
                <w:rFonts w:ascii="宋体" w:hAnsi="宋体" w:cs="宋体" w:hint="eastAsia"/>
                <w:color w:val="000000"/>
                <w:kern w:val="0"/>
                <w:sz w:val="20"/>
                <w:szCs w:val="20"/>
              </w:rPr>
              <w:t>当年预算执行情况（20分）</w:t>
            </w:r>
          </w:p>
        </w:tc>
      </w:tr>
      <w:tr w:rsidR="004C135A" w:rsidTr="002F712E">
        <w:trPr>
          <w:trHeight w:val="660"/>
        </w:trPr>
        <w:tc>
          <w:tcPr>
            <w:tcW w:w="335"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348"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预算数（万元）</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执行数（万元）</w:t>
            </w:r>
          </w:p>
        </w:tc>
        <w:tc>
          <w:tcPr>
            <w:tcW w:w="329"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预算执行率</w:t>
            </w:r>
          </w:p>
        </w:tc>
        <w:tc>
          <w:tcPr>
            <w:tcW w:w="21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1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指标解释</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r>
      <w:tr w:rsidR="004C135A" w:rsidTr="002F712E">
        <w:trPr>
          <w:trHeight w:val="630"/>
        </w:trPr>
        <w:tc>
          <w:tcPr>
            <w:tcW w:w="335" w:type="pct"/>
            <w:vMerge w:val="restart"/>
            <w:tcBorders>
              <w:top w:val="nil"/>
              <w:left w:val="single" w:sz="4" w:space="0" w:color="auto"/>
              <w:bottom w:val="single" w:sz="4" w:space="0" w:color="000000"/>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当年预算执行情况（20）</w:t>
            </w:r>
          </w:p>
        </w:tc>
        <w:tc>
          <w:tcPr>
            <w:tcW w:w="348"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资金总体</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535.50　</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535.50</w:t>
            </w:r>
          </w:p>
        </w:tc>
        <w:tc>
          <w:tcPr>
            <w:tcW w:w="329"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100%　</w:t>
            </w:r>
          </w:p>
        </w:tc>
        <w:tc>
          <w:tcPr>
            <w:tcW w:w="217" w:type="pct"/>
            <w:vMerge w:val="restart"/>
            <w:tcBorders>
              <w:top w:val="single" w:sz="4" w:space="0" w:color="auto"/>
              <w:left w:val="single" w:sz="4" w:space="0" w:color="auto"/>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17" w:type="pct"/>
            <w:vMerge w:val="restart"/>
            <w:tcBorders>
              <w:top w:val="single" w:sz="4" w:space="0" w:color="auto"/>
              <w:left w:val="single" w:sz="4" w:space="0" w:color="auto"/>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　</w:t>
            </w:r>
          </w:p>
        </w:tc>
        <w:tc>
          <w:tcPr>
            <w:tcW w:w="1471"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部门全年执行数与全年预算数的比率。资金总体=基本支出+项目支出+其他</w:t>
            </w:r>
          </w:p>
        </w:tc>
        <w:tc>
          <w:tcPr>
            <w:tcW w:w="1504" w:type="pct"/>
            <w:vMerge w:val="restart"/>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①得分一档最高不能超过该指标分值上限（20分）。</w:t>
            </w:r>
          </w:p>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rsidR="004C135A" w:rsidTr="002F712E">
        <w:trPr>
          <w:trHeight w:val="60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single" w:sz="4" w:space="0" w:color="auto"/>
              <w:left w:val="single" w:sz="4" w:space="0" w:color="auto"/>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535.50　</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535.50　</w:t>
            </w:r>
          </w:p>
        </w:tc>
        <w:tc>
          <w:tcPr>
            <w:tcW w:w="329"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17"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top w:val="single" w:sz="4" w:space="0" w:color="auto"/>
              <w:left w:val="nil"/>
              <w:bottom w:val="single" w:sz="4" w:space="0" w:color="auto"/>
              <w:right w:val="nil"/>
            </w:tcBorders>
            <w:vAlign w:val="center"/>
          </w:tcPr>
          <w:p w:rsidR="004C135A" w:rsidRDefault="004C135A" w:rsidP="002F712E">
            <w:pPr>
              <w:widowControl/>
              <w:jc w:val="left"/>
              <w:rPr>
                <w:rFonts w:ascii="宋体" w:hAnsi="宋体" w:cs="宋体"/>
                <w:color w:val="000000"/>
                <w:kern w:val="0"/>
                <w:sz w:val="20"/>
                <w:szCs w:val="20"/>
              </w:rPr>
            </w:pPr>
          </w:p>
        </w:tc>
        <w:tc>
          <w:tcPr>
            <w:tcW w:w="1471"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615"/>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single" w:sz="4" w:space="0" w:color="auto"/>
              <w:left w:val="single" w:sz="4" w:space="0" w:color="auto"/>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top w:val="single" w:sz="4" w:space="0" w:color="auto"/>
              <w:left w:val="nil"/>
              <w:bottom w:val="single" w:sz="4" w:space="0" w:color="auto"/>
              <w:right w:val="nil"/>
            </w:tcBorders>
            <w:vAlign w:val="center"/>
          </w:tcPr>
          <w:p w:rsidR="004C135A" w:rsidRDefault="004C135A" w:rsidP="002F712E">
            <w:pPr>
              <w:widowControl/>
              <w:jc w:val="left"/>
              <w:rPr>
                <w:rFonts w:ascii="宋体" w:hAnsi="宋体" w:cs="宋体"/>
                <w:color w:val="000000"/>
                <w:kern w:val="0"/>
                <w:sz w:val="20"/>
                <w:szCs w:val="20"/>
              </w:rPr>
            </w:pPr>
          </w:p>
        </w:tc>
        <w:tc>
          <w:tcPr>
            <w:tcW w:w="1471"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2136"/>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top w:val="single" w:sz="4" w:space="0" w:color="auto"/>
              <w:left w:val="nil"/>
              <w:bottom w:val="single" w:sz="4" w:space="0" w:color="auto"/>
              <w:right w:val="nil"/>
            </w:tcBorders>
            <w:vAlign w:val="center"/>
          </w:tcPr>
          <w:p w:rsidR="004C135A" w:rsidRDefault="004C135A" w:rsidP="002F712E">
            <w:pPr>
              <w:widowControl/>
              <w:jc w:val="left"/>
              <w:rPr>
                <w:rFonts w:ascii="宋体" w:hAnsi="宋体" w:cs="宋体"/>
                <w:color w:val="000000"/>
                <w:kern w:val="0"/>
                <w:sz w:val="20"/>
                <w:szCs w:val="20"/>
              </w:rPr>
            </w:pPr>
          </w:p>
        </w:tc>
        <w:tc>
          <w:tcPr>
            <w:tcW w:w="1471"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569"/>
        </w:trPr>
        <w:tc>
          <w:tcPr>
            <w:tcW w:w="5000" w:type="pct"/>
            <w:gridSpan w:val="9"/>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二</w:t>
            </w:r>
            <w:r>
              <w:rPr>
                <w:rFonts w:ascii="宋体" w:hAnsi="宋体" w:cs="宋体"/>
                <w:color w:val="000000"/>
                <w:kern w:val="0"/>
                <w:sz w:val="18"/>
                <w:szCs w:val="18"/>
              </w:rPr>
              <w:t>、</w:t>
            </w:r>
            <w:r>
              <w:rPr>
                <w:rFonts w:ascii="宋体" w:hAnsi="宋体" w:cs="宋体" w:hint="eastAsia"/>
                <w:color w:val="000000"/>
                <w:kern w:val="0"/>
                <w:sz w:val="20"/>
                <w:szCs w:val="20"/>
              </w:rPr>
              <w:t>整体绩效目标实现情况（60分）</w:t>
            </w:r>
          </w:p>
        </w:tc>
      </w:tr>
      <w:tr w:rsidR="004C135A" w:rsidTr="002F712E">
        <w:trPr>
          <w:trHeight w:val="499"/>
        </w:trPr>
        <w:tc>
          <w:tcPr>
            <w:tcW w:w="335"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348"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21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17" w:type="pct"/>
            <w:tcBorders>
              <w:top w:val="single" w:sz="4" w:space="0" w:color="auto"/>
              <w:left w:val="nil"/>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504"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4C135A" w:rsidTr="002F712E">
        <w:trPr>
          <w:trHeight w:val="1196"/>
        </w:trPr>
        <w:tc>
          <w:tcPr>
            <w:tcW w:w="335"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整体绩效目标实现情况（60）</w:t>
            </w:r>
          </w:p>
        </w:tc>
        <w:tc>
          <w:tcPr>
            <w:tcW w:w="348" w:type="pct"/>
            <w:vMerge w:val="restart"/>
            <w:tcBorders>
              <w:top w:val="single" w:sz="4" w:space="0" w:color="auto"/>
              <w:left w:val="nil"/>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p>
          <w:p w:rsidR="004C135A" w:rsidRDefault="004C135A" w:rsidP="002F712E">
            <w:pPr>
              <w:jc w:val="center"/>
              <w:rPr>
                <w:rFonts w:ascii="宋体" w:hAnsi="宋体" w:cs="宋体"/>
                <w:color w:val="000000"/>
                <w:kern w:val="0"/>
                <w:sz w:val="20"/>
                <w:szCs w:val="20"/>
              </w:rPr>
            </w:pPr>
            <w:r>
              <w:rPr>
                <w:rFonts w:ascii="宋体" w:hAnsi="宋体" w:cs="宋体" w:hint="eastAsia"/>
                <w:color w:val="000000"/>
                <w:kern w:val="0"/>
                <w:sz w:val="20"/>
                <w:szCs w:val="20"/>
              </w:rPr>
              <w:t>产出（30）</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p>
          <w:p w:rsidR="004C135A" w:rsidRDefault="004C135A" w:rsidP="002F712E">
            <w:pPr>
              <w:jc w:val="center"/>
              <w:rPr>
                <w:rFonts w:ascii="宋体" w:hAnsi="宋体" w:cs="宋体"/>
                <w:color w:val="000000"/>
                <w:kern w:val="0"/>
                <w:sz w:val="20"/>
                <w:szCs w:val="20"/>
              </w:rPr>
            </w:pPr>
            <w:r>
              <w:rPr>
                <w:rFonts w:ascii="宋体" w:hAnsi="宋体" w:cs="宋体" w:hint="eastAsia"/>
                <w:color w:val="000000"/>
                <w:kern w:val="0"/>
                <w:sz w:val="20"/>
                <w:szCs w:val="20"/>
              </w:rPr>
              <w:t>指标1</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p>
          <w:p w:rsidR="004C135A" w:rsidRDefault="004C135A" w:rsidP="002F712E">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p>
          <w:p w:rsidR="004C135A" w:rsidRDefault="004C135A" w:rsidP="002F712E">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val="restar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p>
          <w:p w:rsidR="004C135A" w:rsidRDefault="004C135A" w:rsidP="002F712E">
            <w:pPr>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7" w:type="pct"/>
            <w:vMerge w:val="restart"/>
            <w:tcBorders>
              <w:top w:val="single" w:sz="4" w:space="0" w:color="auto"/>
              <w:left w:val="nil"/>
              <w:right w:val="nil"/>
            </w:tcBorders>
            <w:vAlign w:val="center"/>
          </w:tcPr>
          <w:p w:rsidR="004C135A" w:rsidRDefault="004C135A" w:rsidP="002F712E">
            <w:pPr>
              <w:widowControl/>
              <w:jc w:val="center"/>
              <w:rPr>
                <w:rFonts w:ascii="宋体" w:hAnsi="宋体" w:cs="宋体"/>
                <w:color w:val="000000"/>
                <w:kern w:val="0"/>
                <w:sz w:val="20"/>
                <w:szCs w:val="20"/>
              </w:rPr>
            </w:pPr>
          </w:p>
          <w:p w:rsidR="004C135A" w:rsidRDefault="004C135A" w:rsidP="002F712E">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30　</w:t>
            </w:r>
          </w:p>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71"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产出数量</w:t>
            </w:r>
            <w:r>
              <w:rPr>
                <w:rFonts w:ascii="宋体" w:hAnsi="宋体" w:cs="宋体" w:hint="eastAsia"/>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ascii="宋体" w:hAnsi="宋体" w:cs="宋体" w:hint="eastAsia"/>
                <w:b/>
                <w:bCs/>
                <w:color w:val="000000"/>
                <w:kern w:val="0"/>
                <w:sz w:val="18"/>
                <w:szCs w:val="18"/>
              </w:rPr>
              <w:t>产出质量</w:t>
            </w:r>
            <w:r>
              <w:rPr>
                <w:rFonts w:ascii="宋体" w:hAnsi="宋体" w:cs="宋体" w:hint="eastAsia"/>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ascii="宋体" w:hAnsi="宋体" w:cs="宋体" w:hint="eastAsia"/>
                <w:b/>
                <w:bCs/>
                <w:color w:val="000000"/>
                <w:kern w:val="0"/>
                <w:sz w:val="18"/>
                <w:szCs w:val="18"/>
              </w:rPr>
              <w:t>产出进度：</w:t>
            </w:r>
            <w:r>
              <w:rPr>
                <w:rFonts w:ascii="宋体" w:hAnsi="宋体" w:cs="宋体" w:hint="eastAsia"/>
                <w:color w:val="000000"/>
                <w:kern w:val="0"/>
                <w:sz w:val="18"/>
                <w:szCs w:val="18"/>
              </w:rPr>
              <w:t>按时完成率=（按时完成工作数/实际完成工作数）×100%。按时完成工作数：部门（单位）按照整体绩效目标确定的时限实际完成的工作任务数量。</w:t>
            </w:r>
            <w:r>
              <w:rPr>
                <w:rFonts w:ascii="宋体" w:hAnsi="宋体" w:cs="宋体" w:hint="eastAsia"/>
                <w:b/>
                <w:bCs/>
                <w:color w:val="000000"/>
                <w:kern w:val="0"/>
                <w:sz w:val="18"/>
                <w:szCs w:val="18"/>
              </w:rPr>
              <w:t>产出成本</w:t>
            </w:r>
            <w:r>
              <w:rPr>
                <w:rFonts w:ascii="宋体" w:hAnsi="宋体" w:cs="宋体" w:hint="eastAsia"/>
                <w:color w:val="000000"/>
                <w:kern w:val="0"/>
                <w:sz w:val="18"/>
                <w:szCs w:val="18"/>
              </w:rPr>
              <w:t>：单位产出相对于上一年度的节约额；②单位产出相对于市场同类产出的节约额；③部门公用经费的控制情况。</w:t>
            </w:r>
          </w:p>
        </w:tc>
        <w:tc>
          <w:tcPr>
            <w:tcW w:w="1504"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rsidR="004C135A" w:rsidTr="002F712E">
        <w:trPr>
          <w:trHeight w:val="113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left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指标2</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tcBorders>
              <w:top w:val="single" w:sz="4" w:space="0" w:color="auto"/>
              <w:left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left w:val="nil"/>
              <w:right w:val="nil"/>
            </w:tcBorders>
            <w:noWrap/>
            <w:vAlign w:val="center"/>
          </w:tcPr>
          <w:p w:rsidR="004C135A" w:rsidRDefault="004C135A" w:rsidP="002F712E">
            <w:pPr>
              <w:widowControl/>
              <w:jc w:val="center"/>
              <w:rPr>
                <w:rFonts w:ascii="宋体" w:hAnsi="宋体" w:cs="宋体"/>
                <w:color w:val="000000"/>
                <w:kern w:val="0"/>
                <w:sz w:val="20"/>
                <w:szCs w:val="20"/>
              </w:rPr>
            </w:pPr>
          </w:p>
        </w:tc>
        <w:tc>
          <w:tcPr>
            <w:tcW w:w="1471"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1258"/>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left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指标3</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tcBorders>
              <w:left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left w:val="nil"/>
              <w:right w:val="nil"/>
            </w:tcBorders>
            <w:noWrap/>
            <w:vAlign w:val="center"/>
          </w:tcPr>
          <w:p w:rsidR="004C135A" w:rsidRDefault="004C135A" w:rsidP="002F712E">
            <w:pPr>
              <w:widowControl/>
              <w:jc w:val="center"/>
              <w:rPr>
                <w:rFonts w:ascii="宋体" w:hAnsi="宋体" w:cs="宋体"/>
                <w:color w:val="000000"/>
                <w:kern w:val="0"/>
                <w:sz w:val="20"/>
                <w:szCs w:val="20"/>
              </w:rPr>
            </w:pPr>
          </w:p>
        </w:tc>
        <w:tc>
          <w:tcPr>
            <w:tcW w:w="1471"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975"/>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nil"/>
              <w:left w:val="nil"/>
              <w:bottom w:val="single" w:sz="4" w:space="0" w:color="auto"/>
              <w:right w:val="single" w:sz="4" w:space="0" w:color="auto"/>
            </w:tcBorders>
            <w:vAlign w:val="center"/>
          </w:tcPr>
          <w:p w:rsidR="004C135A" w:rsidRDefault="004C135A" w:rsidP="002F712E">
            <w:pPr>
              <w:widowControl/>
              <w:rPr>
                <w:rFonts w:ascii="宋体" w:hAnsi="宋体" w:cs="宋体"/>
                <w:color w:val="000000"/>
                <w:kern w:val="0"/>
                <w:sz w:val="20"/>
                <w:szCs w:val="20"/>
              </w:rPr>
            </w:pPr>
            <w:r>
              <w:rPr>
                <w:rFonts w:ascii="宋体" w:hAnsi="宋体" w:cs="宋体" w:hint="eastAsia"/>
                <w:color w:val="000000"/>
                <w:kern w:val="0"/>
                <w:sz w:val="20"/>
                <w:szCs w:val="20"/>
              </w:rPr>
              <w:t>指标…</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tcBorders>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left w:val="nil"/>
              <w:bottom w:val="single" w:sz="4" w:space="0" w:color="auto"/>
              <w:right w:val="nil"/>
            </w:tcBorders>
            <w:noWrap/>
            <w:vAlign w:val="center"/>
          </w:tcPr>
          <w:p w:rsidR="004C135A" w:rsidRDefault="004C135A" w:rsidP="002F712E">
            <w:pPr>
              <w:widowControl/>
              <w:jc w:val="center"/>
              <w:rPr>
                <w:rFonts w:ascii="宋体" w:hAnsi="宋体" w:cs="宋体"/>
                <w:color w:val="000000"/>
                <w:kern w:val="0"/>
                <w:sz w:val="20"/>
                <w:szCs w:val="20"/>
              </w:rPr>
            </w:pPr>
          </w:p>
        </w:tc>
        <w:tc>
          <w:tcPr>
            <w:tcW w:w="1471"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675"/>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val="restart"/>
            <w:tcBorders>
              <w:top w:val="nil"/>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效果（30）</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指标1</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val="restart"/>
            <w:tcBorders>
              <w:top w:val="nil"/>
              <w:left w:val="single" w:sz="4" w:space="0" w:color="auto"/>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7" w:type="pct"/>
            <w:vMerge w:val="restart"/>
            <w:tcBorders>
              <w:top w:val="nil"/>
              <w:left w:val="nil"/>
              <w:right w:val="nil"/>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30　</w:t>
            </w:r>
          </w:p>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71" w:type="pct"/>
            <w:vMerge w:val="restart"/>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经济效益</w:t>
            </w:r>
            <w:r>
              <w:rPr>
                <w:rFonts w:ascii="宋体" w:hAnsi="宋体" w:cs="宋体" w:hint="eastAsia"/>
                <w:color w:val="000000"/>
                <w:kern w:val="0"/>
                <w:sz w:val="18"/>
                <w:szCs w:val="18"/>
              </w:rPr>
              <w:t>：部门（单位）履行职责对经济发展所带来的直接或间接影响。</w:t>
            </w:r>
            <w:r>
              <w:rPr>
                <w:rFonts w:ascii="宋体" w:hAnsi="宋体" w:cs="宋体" w:hint="eastAsia"/>
                <w:b/>
                <w:bCs/>
                <w:color w:val="000000"/>
                <w:kern w:val="0"/>
                <w:sz w:val="18"/>
                <w:szCs w:val="18"/>
              </w:rPr>
              <w:t>社会效益</w:t>
            </w:r>
            <w:r>
              <w:rPr>
                <w:rFonts w:ascii="宋体" w:hAnsi="宋体" w:cs="宋体" w:hint="eastAsia"/>
                <w:color w:val="000000"/>
                <w:kern w:val="0"/>
                <w:sz w:val="18"/>
                <w:szCs w:val="18"/>
              </w:rPr>
              <w:t>：部门（单位）履行职责对社会发展所带来的直接或间接影响。</w:t>
            </w:r>
            <w:r>
              <w:rPr>
                <w:rFonts w:ascii="宋体" w:hAnsi="宋体" w:cs="宋体" w:hint="eastAsia"/>
                <w:b/>
                <w:bCs/>
                <w:color w:val="000000"/>
                <w:kern w:val="0"/>
                <w:sz w:val="18"/>
                <w:szCs w:val="18"/>
              </w:rPr>
              <w:t>环境效益</w:t>
            </w:r>
            <w:r>
              <w:rPr>
                <w:rFonts w:ascii="宋体" w:hAnsi="宋体" w:cs="宋体" w:hint="eastAsia"/>
                <w:color w:val="000000"/>
                <w:kern w:val="0"/>
                <w:sz w:val="18"/>
                <w:szCs w:val="18"/>
              </w:rPr>
              <w:t>：部门（单位）履行职责对环境所带来的直接或间接影响。</w:t>
            </w:r>
            <w:r>
              <w:rPr>
                <w:rFonts w:ascii="宋体" w:hAnsi="宋体" w:cs="宋体" w:hint="eastAsia"/>
                <w:b/>
                <w:bCs/>
                <w:color w:val="000000"/>
                <w:kern w:val="0"/>
                <w:sz w:val="18"/>
                <w:szCs w:val="18"/>
              </w:rPr>
              <w:t>可持续性影响：</w:t>
            </w:r>
            <w:r>
              <w:rPr>
                <w:rFonts w:ascii="宋体" w:hAnsi="宋体" w:cs="宋体" w:hint="eastAsia"/>
                <w:color w:val="000000"/>
                <w:kern w:val="0"/>
                <w:sz w:val="18"/>
                <w:szCs w:val="18"/>
              </w:rPr>
              <w:t>部门绩效目标实现的长效机制建设情况，部门工作效率提升措施的创新。</w:t>
            </w:r>
            <w:r>
              <w:rPr>
                <w:rFonts w:ascii="宋体" w:hAnsi="宋体" w:cs="宋体" w:hint="eastAsia"/>
                <w:b/>
                <w:bCs/>
                <w:color w:val="000000"/>
                <w:kern w:val="0"/>
                <w:sz w:val="18"/>
                <w:szCs w:val="18"/>
              </w:rPr>
              <w:t>服务对象满意度</w:t>
            </w:r>
            <w:r>
              <w:rPr>
                <w:rFonts w:ascii="宋体" w:hAnsi="宋体" w:cs="宋体" w:hint="eastAsia"/>
                <w:color w:val="000000"/>
                <w:kern w:val="0"/>
                <w:sz w:val="18"/>
                <w:szCs w:val="18"/>
              </w:rPr>
              <w:t>：部门（单位）的服务对象对部门履职效果的满意程度。</w:t>
            </w:r>
          </w:p>
        </w:tc>
        <w:tc>
          <w:tcPr>
            <w:tcW w:w="1504" w:type="pct"/>
            <w:vMerge w:val="restart"/>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部门根据实际情况选择指标进行填写，并将其细化为相应的个性化指标。对于效益类指标可从受益对象瞄准度、受益广度和受益深度上进行设计分析。</w:t>
            </w:r>
          </w:p>
        </w:tc>
      </w:tr>
      <w:tr w:rsidR="004C135A" w:rsidTr="002F712E">
        <w:trPr>
          <w:trHeight w:val="63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指标2</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left w:val="nil"/>
              <w:right w:val="nil"/>
            </w:tcBorders>
            <w:noWrap/>
            <w:vAlign w:val="center"/>
          </w:tcPr>
          <w:p w:rsidR="004C135A" w:rsidRDefault="004C135A" w:rsidP="002F712E">
            <w:pPr>
              <w:widowControl/>
              <w:jc w:val="center"/>
              <w:rPr>
                <w:rFonts w:ascii="宋体" w:hAnsi="宋体" w:cs="宋体"/>
                <w:color w:val="000000"/>
                <w:kern w:val="0"/>
                <w:sz w:val="20"/>
                <w:szCs w:val="20"/>
              </w:rPr>
            </w:pPr>
          </w:p>
        </w:tc>
        <w:tc>
          <w:tcPr>
            <w:tcW w:w="1471"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69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指标3</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left w:val="nil"/>
              <w:right w:val="nil"/>
            </w:tcBorders>
            <w:noWrap/>
            <w:vAlign w:val="center"/>
          </w:tcPr>
          <w:p w:rsidR="004C135A" w:rsidRDefault="004C135A" w:rsidP="002F712E">
            <w:pPr>
              <w:widowControl/>
              <w:jc w:val="center"/>
              <w:rPr>
                <w:rFonts w:ascii="宋体" w:hAnsi="宋体" w:cs="宋体"/>
                <w:color w:val="000000"/>
                <w:kern w:val="0"/>
                <w:sz w:val="20"/>
                <w:szCs w:val="20"/>
              </w:rPr>
            </w:pPr>
          </w:p>
        </w:tc>
        <w:tc>
          <w:tcPr>
            <w:tcW w:w="1471"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675"/>
        </w:trPr>
        <w:tc>
          <w:tcPr>
            <w:tcW w:w="335"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nil"/>
              <w:left w:val="nil"/>
              <w:bottom w:val="single" w:sz="4" w:space="0" w:color="auto"/>
              <w:right w:val="single" w:sz="4" w:space="0" w:color="auto"/>
            </w:tcBorders>
            <w:vAlign w:val="center"/>
          </w:tcPr>
          <w:p w:rsidR="004C135A" w:rsidRDefault="004C135A" w:rsidP="002F712E">
            <w:pPr>
              <w:widowControl/>
              <w:rPr>
                <w:rFonts w:ascii="宋体" w:hAnsi="宋体" w:cs="宋体"/>
                <w:color w:val="000000"/>
                <w:kern w:val="0"/>
                <w:sz w:val="20"/>
                <w:szCs w:val="20"/>
              </w:rPr>
            </w:pPr>
            <w:r>
              <w:rPr>
                <w:rFonts w:ascii="宋体" w:hAnsi="宋体" w:cs="宋体" w:hint="eastAsia"/>
                <w:color w:val="000000"/>
                <w:kern w:val="0"/>
                <w:sz w:val="20"/>
                <w:szCs w:val="20"/>
              </w:rPr>
              <w:t>指标…</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17" w:type="pct"/>
            <w:vMerge/>
            <w:tcBorders>
              <w:left w:val="nil"/>
              <w:bottom w:val="single" w:sz="4" w:space="0" w:color="auto"/>
              <w:right w:val="nil"/>
            </w:tcBorders>
            <w:noWrap/>
            <w:vAlign w:val="center"/>
          </w:tcPr>
          <w:p w:rsidR="004C135A" w:rsidRDefault="004C135A" w:rsidP="002F712E">
            <w:pPr>
              <w:widowControl/>
              <w:jc w:val="center"/>
              <w:rPr>
                <w:rFonts w:ascii="宋体" w:hAnsi="宋体" w:cs="宋体"/>
                <w:color w:val="000000"/>
                <w:kern w:val="0"/>
                <w:sz w:val="20"/>
                <w:szCs w:val="20"/>
              </w:rPr>
            </w:pPr>
          </w:p>
        </w:tc>
        <w:tc>
          <w:tcPr>
            <w:tcW w:w="1471"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c>
          <w:tcPr>
            <w:tcW w:w="1504"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p>
        </w:tc>
      </w:tr>
      <w:tr w:rsidR="004C135A" w:rsidTr="002F712E">
        <w:trPr>
          <w:trHeight w:val="699"/>
        </w:trPr>
        <w:tc>
          <w:tcPr>
            <w:tcW w:w="5000" w:type="pct"/>
            <w:gridSpan w:val="9"/>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三</w:t>
            </w:r>
            <w:r>
              <w:rPr>
                <w:rFonts w:ascii="宋体" w:hAnsi="宋体" w:cs="宋体"/>
                <w:color w:val="000000"/>
                <w:kern w:val="0"/>
                <w:sz w:val="18"/>
                <w:szCs w:val="18"/>
              </w:rPr>
              <w:t>、</w:t>
            </w:r>
            <w:r>
              <w:rPr>
                <w:rFonts w:ascii="宋体" w:hAnsi="宋体" w:cs="宋体" w:hint="eastAsia"/>
                <w:color w:val="000000"/>
                <w:kern w:val="0"/>
                <w:sz w:val="20"/>
                <w:szCs w:val="20"/>
              </w:rPr>
              <w:t>预算管理情况（20分）</w:t>
            </w:r>
          </w:p>
        </w:tc>
      </w:tr>
      <w:tr w:rsidR="004C135A" w:rsidTr="002F712E">
        <w:trPr>
          <w:trHeight w:val="702"/>
        </w:trPr>
        <w:tc>
          <w:tcPr>
            <w:tcW w:w="335"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一</w:t>
            </w:r>
            <w:r>
              <w:rPr>
                <w:rFonts w:ascii="宋体" w:hAnsi="宋体" w:cs="宋体"/>
                <w:color w:val="000000"/>
                <w:kern w:val="0"/>
                <w:sz w:val="20"/>
                <w:szCs w:val="20"/>
              </w:rPr>
              <w:t>级指标</w:t>
            </w:r>
          </w:p>
        </w:tc>
        <w:tc>
          <w:tcPr>
            <w:tcW w:w="348"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r>
              <w:rPr>
                <w:rFonts w:ascii="宋体" w:hAnsi="宋体" w:cs="宋体"/>
                <w:color w:val="000000"/>
                <w:kern w:val="0"/>
                <w:sz w:val="20"/>
                <w:szCs w:val="20"/>
              </w:rPr>
              <w:t>值</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r>
              <w:rPr>
                <w:rFonts w:ascii="宋体" w:hAnsi="宋体" w:cs="宋体"/>
                <w:color w:val="000000"/>
                <w:kern w:val="0"/>
                <w:sz w:val="20"/>
                <w:szCs w:val="20"/>
              </w:rPr>
              <w:t>值</w:t>
            </w:r>
          </w:p>
        </w:tc>
        <w:tc>
          <w:tcPr>
            <w:tcW w:w="217" w:type="pct"/>
            <w:tcBorders>
              <w:top w:val="single" w:sz="4" w:space="0" w:color="auto"/>
              <w:left w:val="nil"/>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分</w:t>
            </w:r>
            <w:r>
              <w:rPr>
                <w:rFonts w:ascii="宋体" w:hAnsi="宋体" w:cs="宋体"/>
                <w:color w:val="000000"/>
                <w:kern w:val="0"/>
                <w:sz w:val="20"/>
                <w:szCs w:val="20"/>
              </w:rPr>
              <w:t>值</w:t>
            </w:r>
          </w:p>
        </w:tc>
        <w:tc>
          <w:tcPr>
            <w:tcW w:w="217" w:type="pct"/>
            <w:tcBorders>
              <w:top w:val="single" w:sz="4" w:space="0" w:color="auto"/>
              <w:left w:val="nil"/>
              <w:bottom w:val="single" w:sz="4" w:space="0" w:color="auto"/>
              <w:right w:val="nil"/>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得</w:t>
            </w:r>
            <w:r>
              <w:rPr>
                <w:rFonts w:ascii="宋体" w:hAnsi="宋体" w:cs="宋体"/>
                <w:color w:val="000000"/>
                <w:kern w:val="0"/>
                <w:sz w:val="20"/>
                <w:szCs w:val="20"/>
              </w:rPr>
              <w:t>分</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b/>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4C135A" w:rsidTr="002F712E">
        <w:trPr>
          <w:trHeight w:val="1230"/>
        </w:trPr>
        <w:tc>
          <w:tcPr>
            <w:tcW w:w="335"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预算管理情况（20）</w:t>
            </w:r>
          </w:p>
        </w:tc>
        <w:tc>
          <w:tcPr>
            <w:tcW w:w="348" w:type="pct"/>
            <w:vMerge w:val="restar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财务管理（4）</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single" w:sz="4" w:space="0" w:color="auto"/>
              <w:left w:val="nil"/>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17" w:type="pct"/>
            <w:tcBorders>
              <w:top w:val="single" w:sz="4" w:space="0" w:color="auto"/>
              <w:left w:val="nil"/>
              <w:bottom w:val="single" w:sz="4" w:space="0" w:color="auto"/>
              <w:right w:val="nil"/>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财务管理制度健全性:</w:t>
            </w:r>
            <w:r>
              <w:rPr>
                <w:rFonts w:ascii="宋体" w:hAnsi="宋体" w:cs="宋体" w:hint="eastAsia"/>
                <w:color w:val="000000"/>
                <w:kern w:val="0"/>
                <w:sz w:val="18"/>
                <w:szCs w:val="18"/>
              </w:rPr>
              <w:t>部门（单位）为加强财务管理、规范财务行为而制定的管理制度。</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①预算资金管理办法、绩效跟踪管理办法、资产管理办法等各项制度是否健全；②部门内部财务管理制度是否完整、合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；③会计核算制度是否完整、合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。每有一项不合格扣0.5分，扣完为止。</w:t>
            </w:r>
          </w:p>
        </w:tc>
      </w:tr>
      <w:tr w:rsidR="004C135A" w:rsidTr="002F712E">
        <w:trPr>
          <w:trHeight w:val="2220"/>
        </w:trPr>
        <w:tc>
          <w:tcPr>
            <w:tcW w:w="335" w:type="pct"/>
            <w:vMerge/>
            <w:tcBorders>
              <w:top w:val="single" w:sz="4" w:space="0" w:color="auto"/>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性和安全性</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single" w:sz="4" w:space="0" w:color="auto"/>
              <w:left w:val="nil"/>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17" w:type="pct"/>
            <w:tcBorders>
              <w:top w:val="single" w:sz="4" w:space="0" w:color="auto"/>
              <w:left w:val="nil"/>
              <w:bottom w:val="single" w:sz="4" w:space="0" w:color="auto"/>
              <w:right w:val="nil"/>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　</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资金使用合</w:t>
            </w:r>
            <w:proofErr w:type="gramStart"/>
            <w:r>
              <w:rPr>
                <w:rFonts w:ascii="宋体" w:hAnsi="宋体" w:cs="宋体" w:hint="eastAsia"/>
                <w:b/>
                <w:bCs/>
                <w:color w:val="000000"/>
                <w:kern w:val="0"/>
                <w:sz w:val="18"/>
                <w:szCs w:val="18"/>
              </w:rPr>
              <w:t>规</w:t>
            </w:r>
            <w:proofErr w:type="gramEnd"/>
            <w:r>
              <w:rPr>
                <w:rFonts w:ascii="宋体" w:hAnsi="宋体" w:cs="宋体" w:hint="eastAsia"/>
                <w:b/>
                <w:bCs/>
                <w:color w:val="000000"/>
                <w:kern w:val="0"/>
                <w:sz w:val="18"/>
                <w:szCs w:val="18"/>
              </w:rPr>
              <w:t>性和安全性:</w:t>
            </w:r>
            <w:r>
              <w:rPr>
                <w:rFonts w:ascii="宋体" w:hAnsi="宋体" w:cs="宋体" w:hint="eastAsia"/>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rsidR="004C135A" w:rsidTr="002F712E">
        <w:trPr>
          <w:trHeight w:val="1035"/>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vMerge/>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28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nil"/>
              <w:left w:val="nil"/>
              <w:bottom w:val="single" w:sz="4" w:space="0" w:color="auto"/>
              <w:right w:val="single" w:sz="4" w:space="0" w:color="auto"/>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17" w:type="pct"/>
            <w:tcBorders>
              <w:top w:val="nil"/>
              <w:left w:val="nil"/>
              <w:bottom w:val="single" w:sz="4" w:space="0" w:color="auto"/>
              <w:right w:val="nil"/>
            </w:tcBorders>
            <w:noWrap/>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c>
          <w:tcPr>
            <w:tcW w:w="1471" w:type="pct"/>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会计基础信息完善性:</w:t>
            </w:r>
            <w:r>
              <w:rPr>
                <w:rFonts w:ascii="宋体" w:hAnsi="宋体" w:cs="宋体" w:hint="eastAsia"/>
                <w:color w:val="000000"/>
                <w:kern w:val="0"/>
                <w:sz w:val="18"/>
                <w:szCs w:val="18"/>
              </w:rPr>
              <w:t>部门（单位）会计基础信息情况。</w:t>
            </w:r>
          </w:p>
        </w:tc>
        <w:tc>
          <w:tcPr>
            <w:tcW w:w="1504" w:type="pct"/>
            <w:tcBorders>
              <w:top w:val="nil"/>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rsidR="004C135A" w:rsidTr="002F712E">
        <w:trPr>
          <w:trHeight w:val="222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资产管理（4）</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资产管理规范性</w:t>
            </w:r>
          </w:p>
        </w:tc>
        <w:tc>
          <w:tcPr>
            <w:tcW w:w="28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17"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资产管理规范性:</w:t>
            </w:r>
            <w:r>
              <w:rPr>
                <w:rFonts w:ascii="宋体" w:hAnsi="宋体" w:cs="宋体" w:hint="eastAsia"/>
                <w:color w:val="000000"/>
                <w:kern w:val="0"/>
                <w:sz w:val="18"/>
                <w:szCs w:val="18"/>
              </w:rPr>
              <w:t>部门（单位）的资产是否保持安全完整，资产配置是否合理，资产使用和资产处理是否规范，用以反映和考核部门（单位）资产管理的整体水平。</w:t>
            </w:r>
          </w:p>
        </w:tc>
        <w:tc>
          <w:tcPr>
            <w:tcW w:w="1504"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rsidR="004C135A" w:rsidTr="002F712E">
        <w:trPr>
          <w:trHeight w:val="175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绩效管理（4）</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绩效管理情况</w:t>
            </w:r>
          </w:p>
        </w:tc>
        <w:tc>
          <w:tcPr>
            <w:tcW w:w="287" w:type="pct"/>
            <w:tcBorders>
              <w:top w:val="single" w:sz="4" w:space="0" w:color="auto"/>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17" w:type="pct"/>
            <w:tcBorders>
              <w:top w:val="single" w:sz="4" w:space="0" w:color="auto"/>
              <w:left w:val="nil"/>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4</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绩效管理情况:</w:t>
            </w:r>
            <w:r>
              <w:rPr>
                <w:rFonts w:ascii="宋体" w:hAnsi="宋体" w:cs="宋体" w:hint="eastAsia"/>
                <w:color w:val="000000"/>
                <w:kern w:val="0"/>
                <w:sz w:val="18"/>
                <w:szCs w:val="18"/>
              </w:rPr>
              <w:t>考核部门（单位）在绩效管理信息的汇总和应用情况。</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①部门（单位）是否及时对绩效信息进行汇总分析整理；②部门（单位）是否对绩效目标偏离情况及时进行矫正。每有一项不合格扣2分。</w:t>
            </w:r>
          </w:p>
        </w:tc>
      </w:tr>
      <w:tr w:rsidR="004C135A" w:rsidTr="002F712E">
        <w:trPr>
          <w:trHeight w:val="394"/>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575" w:type="pct"/>
            <w:gridSpan w:val="2"/>
            <w:tcBorders>
              <w:top w:val="single" w:sz="4" w:space="0" w:color="auto"/>
              <w:left w:val="nil"/>
              <w:bottom w:val="single" w:sz="4" w:space="0" w:color="auto"/>
              <w:right w:val="single" w:sz="4" w:space="0" w:color="000000"/>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329"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21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17"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center"/>
              <w:rPr>
                <w:rFonts w:eastAsia="Times New Roman"/>
                <w:kern w:val="0"/>
                <w:sz w:val="20"/>
                <w:szCs w:val="20"/>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4C135A" w:rsidTr="002F712E">
        <w:trPr>
          <w:trHeight w:val="1365"/>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nil"/>
              <w:left w:val="nil"/>
              <w:bottom w:val="single" w:sz="4" w:space="0" w:color="auto"/>
              <w:right w:val="single" w:sz="4" w:space="0" w:color="auto"/>
            </w:tcBorders>
            <w:vAlign w:val="center"/>
          </w:tcPr>
          <w:p w:rsidR="004C135A" w:rsidRDefault="004C135A" w:rsidP="002F712E">
            <w:pPr>
              <w:widowControl/>
              <w:rPr>
                <w:rFonts w:ascii="宋体" w:hAnsi="宋体" w:cs="宋体"/>
                <w:color w:val="000000"/>
                <w:kern w:val="0"/>
                <w:sz w:val="20"/>
                <w:szCs w:val="20"/>
              </w:rPr>
            </w:pPr>
            <w:r>
              <w:rPr>
                <w:rFonts w:ascii="宋体" w:hAnsi="宋体" w:cs="宋体" w:hint="eastAsia"/>
                <w:color w:val="000000"/>
                <w:kern w:val="0"/>
                <w:sz w:val="20"/>
                <w:szCs w:val="20"/>
              </w:rPr>
              <w:t>结转结余率（4）</w:t>
            </w:r>
          </w:p>
        </w:tc>
        <w:tc>
          <w:tcPr>
            <w:tcW w:w="575" w:type="pct"/>
            <w:gridSpan w:val="2"/>
            <w:tcBorders>
              <w:top w:val="single" w:sz="4" w:space="0" w:color="auto"/>
              <w:left w:val="nil"/>
              <w:bottom w:val="single" w:sz="4" w:space="0" w:color="auto"/>
              <w:right w:val="single" w:sz="4" w:space="0" w:color="000000"/>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9"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17" w:type="pct"/>
            <w:tcBorders>
              <w:top w:val="nil"/>
              <w:left w:val="nil"/>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c>
          <w:tcPr>
            <w:tcW w:w="1471" w:type="pct"/>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结转结余率=结转结余总额/支出预算数×100%。</w:t>
            </w:r>
          </w:p>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结转结余总额：部门（单位）本年度的结转资金与结余资金之</w:t>
            </w:r>
            <w:proofErr w:type="gramStart"/>
            <w:r>
              <w:rPr>
                <w:rFonts w:ascii="宋体" w:hAnsi="宋体" w:cs="宋体" w:hint="eastAsia"/>
                <w:color w:val="000000"/>
                <w:kern w:val="0"/>
                <w:sz w:val="18"/>
                <w:szCs w:val="18"/>
              </w:rPr>
              <w:t>和</w:t>
            </w:r>
            <w:proofErr w:type="gramEnd"/>
            <w:r>
              <w:rPr>
                <w:rFonts w:ascii="宋体" w:hAnsi="宋体" w:cs="宋体" w:hint="eastAsia"/>
                <w:color w:val="000000"/>
                <w:kern w:val="0"/>
                <w:sz w:val="18"/>
                <w:szCs w:val="18"/>
              </w:rPr>
              <w:t>。</w:t>
            </w:r>
          </w:p>
        </w:tc>
        <w:tc>
          <w:tcPr>
            <w:tcW w:w="1504" w:type="pct"/>
            <w:tcBorders>
              <w:top w:val="single" w:sz="4" w:space="0" w:color="auto"/>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部门结转结余率低于上年的不扣分；高于上年结余率，每高出1个百分点扣0.4分，扣完为止。（说明：预算调整和结转结余指标，如</w:t>
            </w:r>
            <w:proofErr w:type="gramStart"/>
            <w:r>
              <w:rPr>
                <w:rFonts w:ascii="宋体" w:hAnsi="宋体" w:cs="宋体" w:hint="eastAsia"/>
                <w:color w:val="000000"/>
                <w:kern w:val="0"/>
                <w:sz w:val="18"/>
                <w:szCs w:val="18"/>
              </w:rPr>
              <w:t>非预算</w:t>
            </w:r>
            <w:proofErr w:type="gramEnd"/>
            <w:r>
              <w:rPr>
                <w:rFonts w:ascii="宋体" w:hAnsi="宋体" w:cs="宋体" w:hint="eastAsia"/>
                <w:color w:val="000000"/>
                <w:kern w:val="0"/>
                <w:sz w:val="18"/>
                <w:szCs w:val="18"/>
              </w:rPr>
              <w:t>部门主观因素导致扣分的，在评分结果征求意见环节，经与相关部门预算主管处室共同研究，可作为例外情况酌情考虑。）</w:t>
            </w:r>
          </w:p>
        </w:tc>
      </w:tr>
      <w:tr w:rsidR="004C135A" w:rsidTr="002F712E">
        <w:trPr>
          <w:trHeight w:val="90"/>
        </w:trPr>
        <w:tc>
          <w:tcPr>
            <w:tcW w:w="335" w:type="pct"/>
            <w:vMerge/>
            <w:tcBorders>
              <w:top w:val="nil"/>
              <w:left w:val="single" w:sz="4" w:space="0" w:color="auto"/>
              <w:bottom w:val="single" w:sz="4" w:space="0" w:color="000000"/>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p>
        </w:tc>
        <w:tc>
          <w:tcPr>
            <w:tcW w:w="348" w:type="pct"/>
            <w:tcBorders>
              <w:top w:val="nil"/>
              <w:left w:val="nil"/>
              <w:bottom w:val="single" w:sz="4" w:space="0" w:color="auto"/>
              <w:right w:val="single" w:sz="4" w:space="0" w:color="auto"/>
            </w:tcBorders>
            <w:vAlign w:val="center"/>
          </w:tcPr>
          <w:p w:rsidR="004C135A" w:rsidRDefault="004C135A" w:rsidP="002F712E">
            <w:pPr>
              <w:widowControl/>
              <w:rPr>
                <w:rFonts w:ascii="宋体" w:hAnsi="宋体" w:cs="宋体"/>
                <w:color w:val="000000"/>
                <w:kern w:val="0"/>
                <w:sz w:val="20"/>
                <w:szCs w:val="20"/>
              </w:rPr>
            </w:pPr>
            <w:r>
              <w:rPr>
                <w:rFonts w:ascii="宋体" w:hAnsi="宋体" w:cs="宋体" w:hint="eastAsia"/>
                <w:color w:val="000000"/>
                <w:kern w:val="0"/>
                <w:sz w:val="20"/>
                <w:szCs w:val="20"/>
              </w:rPr>
              <w:t>部门预决算差异率（4）</w:t>
            </w:r>
          </w:p>
        </w:tc>
        <w:tc>
          <w:tcPr>
            <w:tcW w:w="575" w:type="pct"/>
            <w:gridSpan w:val="2"/>
            <w:tcBorders>
              <w:top w:val="single" w:sz="4" w:space="0" w:color="auto"/>
              <w:left w:val="nil"/>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29" w:type="pct"/>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17" w:type="pct"/>
            <w:tcBorders>
              <w:top w:val="nil"/>
              <w:left w:val="nil"/>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c>
          <w:tcPr>
            <w:tcW w:w="1471" w:type="pct"/>
            <w:tcBorders>
              <w:top w:val="nil"/>
              <w:left w:val="single" w:sz="4" w:space="0" w:color="auto"/>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通过年度部门决算与年初部门预算对比，对部门的年度支出情况进行考核，衡量部门预算的约束力。</w:t>
            </w:r>
          </w:p>
        </w:tc>
        <w:tc>
          <w:tcPr>
            <w:tcW w:w="1504" w:type="pct"/>
            <w:tcBorders>
              <w:top w:val="nil"/>
              <w:left w:val="nil"/>
              <w:bottom w:val="single" w:sz="4" w:space="0" w:color="auto"/>
              <w:right w:val="single" w:sz="4" w:space="0" w:color="auto"/>
            </w:tcBorders>
            <w:vAlign w:val="center"/>
          </w:tcPr>
          <w:p w:rsidR="004C135A" w:rsidRDefault="004C135A" w:rsidP="002F712E">
            <w:pPr>
              <w:widowControl/>
              <w:jc w:val="left"/>
              <w:rPr>
                <w:rFonts w:ascii="宋体" w:hAnsi="宋体" w:cs="宋体"/>
                <w:color w:val="000000"/>
                <w:kern w:val="0"/>
                <w:sz w:val="18"/>
                <w:szCs w:val="18"/>
              </w:rPr>
            </w:pPr>
            <w:r>
              <w:rPr>
                <w:rFonts w:ascii="宋体" w:hAnsi="宋体" w:cs="宋体" w:hint="eastAsia"/>
                <w:color w:val="000000"/>
                <w:kern w:val="0"/>
                <w:sz w:val="18"/>
                <w:szCs w:val="18"/>
              </w:rPr>
              <w:t>部门预决算差异率高于市级平均差异率（28.3%）的，每高出10%（含），扣0.4分，扣完为止。</w:t>
            </w:r>
          </w:p>
        </w:tc>
      </w:tr>
      <w:tr w:rsidR="004C135A" w:rsidTr="002F712E">
        <w:trPr>
          <w:trHeight w:val="404"/>
        </w:trPr>
        <w:tc>
          <w:tcPr>
            <w:tcW w:w="1589" w:type="pct"/>
            <w:gridSpan w:val="5"/>
            <w:tcBorders>
              <w:top w:val="single" w:sz="4" w:space="0" w:color="auto"/>
              <w:left w:val="single" w:sz="4" w:space="0" w:color="auto"/>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17" w:type="pct"/>
            <w:tcBorders>
              <w:top w:val="nil"/>
              <w:left w:val="nil"/>
              <w:bottom w:val="single" w:sz="4" w:space="0" w:color="auto"/>
              <w:right w:val="single" w:sz="4" w:space="0" w:color="auto"/>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17" w:type="pct"/>
            <w:tcBorders>
              <w:top w:val="nil"/>
              <w:left w:val="nil"/>
              <w:bottom w:val="single" w:sz="4" w:space="0" w:color="auto"/>
              <w:right w:val="nil"/>
            </w:tcBorders>
            <w:vAlign w:val="center"/>
          </w:tcPr>
          <w:p w:rsidR="004C135A" w:rsidRDefault="004C135A" w:rsidP="002F712E">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975" w:type="pct"/>
            <w:gridSpan w:val="2"/>
            <w:tcBorders>
              <w:top w:val="single" w:sz="4" w:space="0" w:color="auto"/>
              <w:left w:val="single" w:sz="4" w:space="0" w:color="auto"/>
              <w:bottom w:val="single" w:sz="4" w:space="0" w:color="auto"/>
              <w:right w:val="single" w:sz="4" w:space="0" w:color="000000"/>
            </w:tcBorders>
            <w:vAlign w:val="center"/>
          </w:tcPr>
          <w:p w:rsidR="004C135A" w:rsidRDefault="004C135A" w:rsidP="002F712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4C135A" w:rsidRDefault="004C135A" w:rsidP="00273290">
      <w:pPr>
        <w:spacing w:line="560" w:lineRule="exact"/>
        <w:rPr>
          <w:rFonts w:ascii="方正小标宋简体" w:eastAsia="方正小标宋简体" w:hAnsi="方正小标宋简体" w:cs="方正小标宋简体"/>
          <w:sz w:val="36"/>
          <w:szCs w:val="36"/>
        </w:rPr>
        <w:sectPr w:rsidR="004C135A">
          <w:pgSz w:w="16838" w:h="11906" w:orient="landscape"/>
          <w:pgMar w:top="1800" w:right="1440" w:bottom="1800" w:left="1440" w:header="851" w:footer="680" w:gutter="0"/>
          <w:cols w:space="720"/>
          <w:docGrid w:type="lines" w:linePitch="312"/>
        </w:sectPr>
      </w:pPr>
    </w:p>
    <w:p w:rsidR="00A71B1B" w:rsidRPr="004C135A" w:rsidRDefault="00A71B1B" w:rsidP="00273290">
      <w:bookmarkStart w:id="0" w:name="_GoBack"/>
      <w:bookmarkEnd w:id="0"/>
    </w:p>
    <w:sectPr w:rsidR="00A71B1B" w:rsidRPr="004C1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E9" w:rsidRDefault="00383FE9" w:rsidP="004C135A">
      <w:r>
        <w:separator/>
      </w:r>
    </w:p>
  </w:endnote>
  <w:endnote w:type="continuationSeparator" w:id="0">
    <w:p w:rsidR="00383FE9" w:rsidRDefault="00383FE9" w:rsidP="004C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E9" w:rsidRDefault="00383FE9" w:rsidP="004C135A">
      <w:r>
        <w:separator/>
      </w:r>
    </w:p>
  </w:footnote>
  <w:footnote w:type="continuationSeparator" w:id="0">
    <w:p w:rsidR="00383FE9" w:rsidRDefault="00383FE9" w:rsidP="004C1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91"/>
    <w:rsid w:val="00273290"/>
    <w:rsid w:val="00383FE9"/>
    <w:rsid w:val="004C135A"/>
    <w:rsid w:val="00A71B1B"/>
    <w:rsid w:val="00E13E7F"/>
    <w:rsid w:val="00FB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135A"/>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C135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3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135A"/>
    <w:rPr>
      <w:sz w:val="18"/>
      <w:szCs w:val="18"/>
    </w:rPr>
  </w:style>
  <w:style w:type="paragraph" w:styleId="a4">
    <w:name w:val="footer"/>
    <w:basedOn w:val="a"/>
    <w:link w:val="Char0"/>
    <w:uiPriority w:val="99"/>
    <w:unhideWhenUsed/>
    <w:rsid w:val="004C13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135A"/>
    <w:rPr>
      <w:sz w:val="18"/>
      <w:szCs w:val="18"/>
    </w:rPr>
  </w:style>
  <w:style w:type="character" w:customStyle="1" w:styleId="2Char">
    <w:name w:val="标题 2 Char"/>
    <w:basedOn w:val="a0"/>
    <w:link w:val="2"/>
    <w:uiPriority w:val="9"/>
    <w:semiHidden/>
    <w:rsid w:val="004C135A"/>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135A"/>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C135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3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135A"/>
    <w:rPr>
      <w:sz w:val="18"/>
      <w:szCs w:val="18"/>
    </w:rPr>
  </w:style>
  <w:style w:type="paragraph" w:styleId="a4">
    <w:name w:val="footer"/>
    <w:basedOn w:val="a"/>
    <w:link w:val="Char0"/>
    <w:uiPriority w:val="99"/>
    <w:unhideWhenUsed/>
    <w:rsid w:val="004C13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135A"/>
    <w:rPr>
      <w:sz w:val="18"/>
      <w:szCs w:val="18"/>
    </w:rPr>
  </w:style>
  <w:style w:type="character" w:customStyle="1" w:styleId="2Char">
    <w:name w:val="标题 2 Char"/>
    <w:basedOn w:val="a0"/>
    <w:link w:val="2"/>
    <w:uiPriority w:val="9"/>
    <w:semiHidden/>
    <w:rsid w:val="004C135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2023-08-25T06:25:00Z</dcterms:created>
  <dcterms:modified xsi:type="dcterms:W3CDTF">2023-08-25T06:40:00Z</dcterms:modified>
</cp:coreProperties>
</file>