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383"/>
        <w:gridCol w:w="749"/>
        <w:gridCol w:w="848"/>
        <w:gridCol w:w="279"/>
        <w:gridCol w:w="284"/>
        <w:gridCol w:w="420"/>
        <w:gridCol w:w="255"/>
        <w:gridCol w:w="59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特高建设</w:t>
            </w:r>
            <w:r>
              <w:rPr>
                <w:rFonts w:ascii="仿宋_GB2312" w:hAnsi="宋体" w:eastAsia="仿宋_GB2312" w:cs="宋体"/>
                <w:kern w:val="0"/>
                <w:szCs w:val="21"/>
              </w:rPr>
              <w:t>—</w:t>
            </w:r>
            <w:r>
              <w:rPr>
                <w:rFonts w:hint="eastAsia" w:ascii="仿宋_GB2312" w:hAnsi="宋体" w:eastAsia="仿宋_GB2312" w:cs="宋体"/>
                <w:kern w:val="0"/>
                <w:szCs w:val="21"/>
              </w:rPr>
              <w:t>特高院校-打造高水平双师队伍</w:t>
            </w:r>
          </w:p>
        </w:tc>
      </w:tr>
      <w:tr>
        <w:tblPrEx>
          <w:tblCellMar>
            <w:top w:w="0" w:type="dxa"/>
            <w:left w:w="108" w:type="dxa"/>
            <w:bottom w:w="0" w:type="dxa"/>
            <w:right w:w="108" w:type="dxa"/>
          </w:tblCellMar>
        </w:tblPrEx>
        <w:trPr>
          <w:trHeight w:val="101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北京一商集团有限责任公司</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北京市商业学校（北京祥龙资产经营有限责任公司党校）</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李颖超</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13811773813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0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225.52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220.108502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219.68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9</w:t>
            </w:r>
            <w:r>
              <w:rPr>
                <w:rFonts w:hint="eastAsia" w:ascii="仿宋_GB2312" w:hAnsi="宋体" w:eastAsia="仿宋_GB2312" w:cs="宋体"/>
                <w:kern w:val="0"/>
                <w:szCs w:val="21"/>
                <w:highlight w:val="none"/>
                <w:lang w:val="en-US" w:eastAsia="zh-CN"/>
              </w:rPr>
              <w:t>9.8</w:t>
            </w:r>
            <w:r>
              <w:rPr>
                <w:rFonts w:ascii="仿宋_GB2312" w:hAnsi="宋体" w:eastAsia="仿宋_GB2312" w:cs="宋体"/>
                <w:kern w:val="0"/>
                <w:szCs w:val="21"/>
                <w:highlight w:val="none"/>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9</w:t>
            </w:r>
            <w:r>
              <w:rPr>
                <w:rFonts w:ascii="仿宋_GB2312" w:hAnsi="宋体" w:eastAsia="仿宋_GB2312" w:cs="宋体"/>
                <w:kern w:val="0"/>
                <w:szCs w:val="21"/>
              </w:rPr>
              <w:t>.</w:t>
            </w:r>
            <w:r>
              <w:rPr>
                <w:rFonts w:hint="eastAsia" w:ascii="仿宋_GB2312" w:hAnsi="宋体" w:eastAsia="仿宋_GB2312" w:cs="宋体"/>
                <w:kern w:val="0"/>
                <w:szCs w:val="21"/>
                <w:lang w:val="en-US" w:eastAsia="zh-CN"/>
              </w:rPr>
              <w:t>98</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225.52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220.108502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219.68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448"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317"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2022年，完善师德工作组织机构，选优配强校系两级师德建设工作责任人，建立教师师德档案，优化师德培养培训、评价激励、宣传引领等长效机制；依据北京市商业学校教师教学创新团队标准，遴选校级教师教学创新团队，初步形成校企协同结构化教学创新团队；建立学校“双师型”教师评价标准，形成“双师型”教师培养方案，为培养高素质专业化的“双师型”教师队伍构建基础框架；开展教师教学与科研能力提质升级行动，探索新形态、新模式的教师教法、教材与课程资源改革；激励教师积极参与各级各类教育、教学大赛与科研竞赛；建立健全新型教师评价管理制度体系，评价的导向与激励作用初步彰显。本项目2022年预算总金额225.52万元。</w:t>
            </w:r>
          </w:p>
        </w:tc>
        <w:tc>
          <w:tcPr>
            <w:tcW w:w="4136"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党建引领，师德为先，选拔党性强、业务精、有威信、肯奉献的学科带头人或教学骨干等担任各系部独立党支部书记兼督学，统管教师培养工作。建立教师师德档案181套，制定北京市商业学校教师教学创新团队标准，遴选校级创新团队5个、建立企业兼职教师资源库。制定学校“双师型”教师评价标准和“双师型”教师培养方案，专业教师双师型占比90.15%。获北京市教学成果奖一等奖11项，北京市教学能力大赛一等奖8项。国家、省市级教科研成果153项；制定、修订教师评价管理制度7个，评价的导向与激励作用明显。</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产出指标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w:t>
            </w:r>
            <w:r>
              <w:rPr>
                <w:rFonts w:ascii="仿宋_GB2312" w:hAnsi="宋体" w:eastAsia="仿宋_GB2312" w:cs="宋体"/>
                <w:kern w:val="0"/>
                <w:szCs w:val="21"/>
                <w:highlight w:val="none"/>
              </w:rPr>
              <w:t>50</w:t>
            </w:r>
            <w:r>
              <w:rPr>
                <w:rFonts w:hint="eastAsia" w:ascii="仿宋_GB2312" w:hAnsi="宋体" w:eastAsia="仿宋_GB2312" w:cs="宋体"/>
                <w:kern w:val="0"/>
                <w:szCs w:val="21"/>
                <w:highlight w:val="none"/>
              </w:rPr>
              <w:t>分）</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r>
              <w:rPr>
                <w:rFonts w:ascii="仿宋_GB2312" w:hAnsi="宋体" w:eastAsia="仿宋_GB2312" w:cs="宋体"/>
                <w:kern w:val="0"/>
                <w:szCs w:val="21"/>
              </w:rPr>
              <w:t>30</w:t>
            </w:r>
            <w:r>
              <w:rPr>
                <w:rFonts w:hint="eastAsia" w:ascii="仿宋_GB2312" w:hAnsi="宋体" w:eastAsia="仿宋_GB2312" w:cs="宋体"/>
                <w:kern w:val="0"/>
                <w:szCs w:val="21"/>
              </w:rPr>
              <w:t>分）</w:t>
            </w: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特色活页式、工作手册式教材</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期刊公开发表论文数量</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4</w:t>
            </w:r>
            <w:r>
              <w:rPr>
                <w:rFonts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师德考核评价指标体系</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教学创新团队企业兼职教师专业课时占比</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r>
              <w:rPr>
                <w:rFonts w:ascii="仿宋_GB2312" w:hAnsi="宋体" w:eastAsia="仿宋_GB2312" w:cs="宋体"/>
                <w:kern w:val="0"/>
                <w:sz w:val="16"/>
                <w:szCs w:val="16"/>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教学创新团队高级专业技术职称（职务）占比</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r>
              <w:rPr>
                <w:rFonts w:ascii="仿宋_GB2312" w:hAnsi="宋体" w:eastAsia="仿宋_GB2312" w:cs="宋体"/>
                <w:kern w:val="0"/>
                <w:sz w:val="16"/>
                <w:szCs w:val="16"/>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专业教师双师型比例</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9</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9</w:t>
            </w:r>
            <w:r>
              <w:rPr>
                <w:rFonts w:ascii="仿宋_GB2312" w:hAnsi="宋体" w:eastAsia="仿宋_GB2312" w:cs="宋体"/>
                <w:kern w:val="0"/>
                <w:sz w:val="16"/>
                <w:szCs w:val="16"/>
              </w:rPr>
              <w:t>0.4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教师参加市级以上比赛获奖数量</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24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校企共建的双师培训基地</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4</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教学创新团队</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4</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教学能力大赛资源包精品PP</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教学能力大赛资源包普通PPT</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45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教学能力大赛资源包二维动画制作</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教学能力大赛资源包45分钟课程制作（单机位全程不间断）</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教学能力大赛资源包佐证视频素材</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教学能力大赛资源包游戏开发制作</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评价保障制度</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教学能力大赛资源包三维动画制作</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教学成果集</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培训人天数</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7</w:t>
            </w:r>
            <w:r>
              <w:rPr>
                <w:rFonts w:ascii="仿宋_GB2312" w:hAnsi="宋体" w:eastAsia="仿宋_GB2312" w:cs="宋体"/>
                <w:kern w:val="0"/>
                <w:sz w:val="16"/>
                <w:szCs w:val="16"/>
              </w:rPr>
              <w:t>50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8</w:t>
            </w:r>
            <w:r>
              <w:rPr>
                <w:rFonts w:ascii="仿宋_GB2312" w:hAnsi="宋体" w:eastAsia="仿宋_GB2312" w:cs="宋体"/>
                <w:kern w:val="0"/>
                <w:sz w:val="16"/>
                <w:szCs w:val="16"/>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r>
              <w:rPr>
                <w:rFonts w:ascii="仿宋_GB2312" w:hAnsi="宋体" w:eastAsia="仿宋_GB2312" w:cs="宋体"/>
                <w:kern w:val="0"/>
                <w:szCs w:val="21"/>
              </w:rPr>
              <w:t>5</w:t>
            </w:r>
            <w:r>
              <w:rPr>
                <w:rFonts w:hint="eastAsia" w:ascii="仿宋_GB2312" w:hAnsi="宋体" w:eastAsia="仿宋_GB2312" w:cs="宋体"/>
                <w:kern w:val="0"/>
                <w:szCs w:val="21"/>
              </w:rPr>
              <w:t>分）</w:t>
            </w: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产出质量稳定可靠，满足国家数字资源年建设标准</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培训合格率</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9</w:t>
            </w:r>
            <w:r>
              <w:rPr>
                <w:rFonts w:ascii="仿宋_GB2312" w:hAnsi="宋体" w:eastAsia="仿宋_GB2312" w:cs="宋体"/>
                <w:kern w:val="0"/>
                <w:sz w:val="16"/>
                <w:szCs w:val="16"/>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9</w:t>
            </w:r>
            <w:r>
              <w:rPr>
                <w:rFonts w:ascii="仿宋_GB2312" w:hAnsi="宋体" w:eastAsia="仿宋_GB2312" w:cs="宋体"/>
                <w:kern w:val="0"/>
                <w:sz w:val="16"/>
                <w:szCs w:val="16"/>
              </w:rPr>
              <w:t>6.5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企业与社会服务培训通过率</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培训参与度</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9</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9</w:t>
            </w:r>
            <w:r>
              <w:rPr>
                <w:rFonts w:ascii="仿宋_GB2312" w:hAnsi="宋体" w:eastAsia="仿宋_GB2312" w:cs="宋体"/>
                <w:kern w:val="0"/>
                <w:sz w:val="16"/>
                <w:szCs w:val="16"/>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培训覆盖率</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9</w:t>
            </w:r>
            <w:r>
              <w:rPr>
                <w:rFonts w:ascii="仿宋_GB2312" w:hAnsi="宋体" w:eastAsia="仿宋_GB2312" w:cs="宋体"/>
                <w:kern w:val="0"/>
                <w:sz w:val="16"/>
                <w:szCs w:val="16"/>
              </w:rPr>
              <w:t>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9</w:t>
            </w:r>
            <w:r>
              <w:rPr>
                <w:rFonts w:ascii="仿宋_GB2312" w:hAnsi="宋体" w:eastAsia="仿宋_GB2312" w:cs="宋体"/>
                <w:kern w:val="0"/>
                <w:sz w:val="16"/>
                <w:szCs w:val="16"/>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r>
              <w:rPr>
                <w:rFonts w:ascii="仿宋_GB2312" w:hAnsi="宋体" w:eastAsia="仿宋_GB2312" w:cs="宋体"/>
                <w:kern w:val="0"/>
                <w:szCs w:val="21"/>
              </w:rPr>
              <w:t>5</w:t>
            </w:r>
            <w:r>
              <w:rPr>
                <w:rFonts w:hint="eastAsia" w:ascii="仿宋_GB2312" w:hAnsi="宋体" w:eastAsia="仿宋_GB2312" w:cs="宋体"/>
                <w:kern w:val="0"/>
                <w:szCs w:val="21"/>
              </w:rPr>
              <w:t>分）</w:t>
            </w: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完成时间</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验收时间</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2</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启动时间</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10</w:t>
            </w:r>
            <w:r>
              <w:rPr>
                <w:rFonts w:hint="eastAsia" w:ascii="仿宋_GB2312" w:hAnsi="宋体" w:eastAsia="仿宋_GB2312" w:cs="宋体"/>
                <w:kern w:val="0"/>
                <w:szCs w:val="21"/>
              </w:rPr>
              <w:t>分）</w:t>
            </w: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225.518502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219.6806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16"/>
                <w:szCs w:val="16"/>
                <w:lang w:val="en-US" w:eastAsia="zh-CN"/>
              </w:rPr>
            </w:pPr>
            <w:r>
              <w:rPr>
                <w:rFonts w:hint="eastAsia" w:ascii="仿宋_GB2312" w:hAnsi="宋体" w:eastAsia="仿宋_GB2312" w:cs="宋体"/>
                <w:kern w:val="0"/>
                <w:sz w:val="16"/>
                <w:szCs w:val="16"/>
                <w:lang w:val="en-US" w:eastAsia="zh-CN"/>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8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30</w:t>
            </w:r>
            <w:r>
              <w:rPr>
                <w:rFonts w:hint="eastAsia" w:ascii="仿宋_GB2312" w:hAnsi="宋体" w:eastAsia="仿宋_GB2312" w:cs="宋体"/>
                <w:kern w:val="0"/>
                <w:szCs w:val="21"/>
              </w:rPr>
              <w:t>分）</w:t>
            </w: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通过参加教学能力培训、课程思政专题培训，教师的教学设计能力得到显著提升，在北京市职业院校教师能力比赛中获奖人次8人以上</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6"/>
                <w:szCs w:val="16"/>
                <w:highlight w:val="none"/>
                <w:lang w:eastAsia="zh-CN"/>
              </w:rPr>
            </w:pPr>
            <w:r>
              <w:rPr>
                <w:rFonts w:hint="eastAsia" w:ascii="仿宋_GB2312" w:hAnsi="宋体" w:eastAsia="仿宋_GB2312" w:cs="宋体"/>
                <w:kern w:val="0"/>
                <w:sz w:val="16"/>
                <w:szCs w:val="16"/>
                <w:highlight w:val="none"/>
                <w:lang w:val="en-US" w:eastAsia="zh-CN"/>
              </w:rPr>
              <w:t>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highlight w:val="none"/>
              </w:rPr>
            </w:pPr>
            <w:r>
              <w:rPr>
                <w:rFonts w:ascii="仿宋_GB2312" w:hAnsi="宋体" w:eastAsia="仿宋_GB2312" w:cs="宋体"/>
                <w:kern w:val="0"/>
                <w:sz w:val="16"/>
                <w:szCs w:val="16"/>
                <w:highlight w:val="none"/>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3</w:t>
            </w:r>
            <w:r>
              <w:rPr>
                <w:rFonts w:ascii="仿宋_GB2312" w:hAnsi="宋体" w:eastAsia="仿宋_GB2312" w:cs="宋体"/>
                <w:kern w:val="0"/>
                <w:sz w:val="16"/>
                <w:szCs w:val="16"/>
              </w:rPr>
              <w:t>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ascii="仿宋_GB2312" w:hAnsi="宋体" w:eastAsia="仿宋_GB2312" w:cs="宋体"/>
                <w:kern w:val="0"/>
                <w:sz w:val="16"/>
                <w:szCs w:val="16"/>
              </w:rPr>
              <w:t>30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分）</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2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tc>
        <w:tc>
          <w:tcPr>
            <w:tcW w:w="7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highlight w:val="none"/>
              </w:rPr>
            </w:pPr>
            <w:r>
              <w:rPr>
                <w:highlight w:val="none"/>
              </w:rPr>
              <w:t>≥</w:t>
            </w:r>
            <w:r>
              <w:rPr>
                <w:rFonts w:ascii="仿宋_GB2312" w:hAnsi="宋体" w:eastAsia="仿宋_GB2312" w:cs="宋体"/>
                <w:kern w:val="0"/>
                <w:sz w:val="16"/>
                <w:szCs w:val="16"/>
                <w:highlight w:val="none"/>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highlight w:val="none"/>
              </w:rPr>
            </w:pPr>
            <w:r>
              <w:rPr>
                <w:rFonts w:hint="eastAsia" w:ascii="仿宋_GB2312" w:hAnsi="宋体" w:eastAsia="仿宋_GB2312" w:cs="宋体"/>
                <w:kern w:val="0"/>
                <w:sz w:val="16"/>
                <w:szCs w:val="16"/>
                <w:highlight w:val="none"/>
              </w:rPr>
              <w:t>9</w:t>
            </w:r>
            <w:r>
              <w:rPr>
                <w:rFonts w:ascii="仿宋_GB2312" w:hAnsi="宋体" w:eastAsia="仿宋_GB2312" w:cs="宋体"/>
                <w:kern w:val="0"/>
                <w:sz w:val="16"/>
                <w:szCs w:val="16"/>
                <w:highlight w:val="none"/>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6"/>
                <w:szCs w:val="16"/>
              </w:rPr>
            </w:pPr>
            <w:r>
              <w:rPr>
                <w:rFonts w:hint="eastAsia" w:ascii="仿宋_GB2312" w:hAnsi="宋体" w:eastAsia="仿宋_GB2312" w:cs="宋体"/>
                <w:kern w:val="0"/>
                <w:sz w:val="16"/>
                <w:szCs w:val="16"/>
              </w:rPr>
              <w:t>1</w:t>
            </w:r>
            <w:r>
              <w:rPr>
                <w:rFonts w:ascii="仿宋_GB2312" w:hAnsi="宋体" w:eastAsia="仿宋_GB2312" w:cs="宋体"/>
                <w:kern w:val="0"/>
                <w:sz w:val="16"/>
                <w:szCs w:val="16"/>
              </w:rPr>
              <w:t>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rPr>
              <w:t>9</w:t>
            </w:r>
            <w:r>
              <w:rPr>
                <w:rFonts w:ascii="仿宋_GB2312" w:hAnsi="宋体" w:eastAsia="仿宋_GB2312" w:cs="宋体"/>
                <w:color w:val="000000"/>
                <w:kern w:val="0"/>
                <w:sz w:val="18"/>
                <w:szCs w:val="18"/>
              </w:rPr>
              <w:t>9.</w:t>
            </w:r>
            <w:r>
              <w:rPr>
                <w:rFonts w:hint="eastAsia" w:ascii="仿宋_GB2312" w:hAnsi="宋体" w:eastAsia="仿宋_GB2312" w:cs="宋体"/>
                <w:color w:val="000000"/>
                <w:kern w:val="0"/>
                <w:sz w:val="18"/>
                <w:szCs w:val="18"/>
                <w:lang w:val="en-US" w:eastAsia="zh-CN"/>
              </w:rPr>
              <w:t>98</w:t>
            </w:r>
            <w:bookmarkStart w:id="0" w:name="_GoBack"/>
            <w:bookmarkEnd w:id="0"/>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zYmFkY2E3NDQxNWJhYTI2Y2NhNDQ1Y2U1M2JmZTkifQ=="/>
  </w:docVars>
  <w:rsids>
    <w:rsidRoot w:val="F77F09F4"/>
    <w:rsid w:val="000A2B79"/>
    <w:rsid w:val="00174B0E"/>
    <w:rsid w:val="003848BF"/>
    <w:rsid w:val="00595059"/>
    <w:rsid w:val="00621416"/>
    <w:rsid w:val="00676D22"/>
    <w:rsid w:val="007178B5"/>
    <w:rsid w:val="00741DE9"/>
    <w:rsid w:val="00896E4B"/>
    <w:rsid w:val="00AC6EF4"/>
    <w:rsid w:val="00B12301"/>
    <w:rsid w:val="00C13162"/>
    <w:rsid w:val="00C76F51"/>
    <w:rsid w:val="00CA7FC3"/>
    <w:rsid w:val="00CB0F14"/>
    <w:rsid w:val="00CC5DF1"/>
    <w:rsid w:val="00D0209B"/>
    <w:rsid w:val="00D42E72"/>
    <w:rsid w:val="00D534E2"/>
    <w:rsid w:val="00D823A4"/>
    <w:rsid w:val="00DC247E"/>
    <w:rsid w:val="00E273CC"/>
    <w:rsid w:val="00E95556"/>
    <w:rsid w:val="00EF52E9"/>
    <w:rsid w:val="00F15405"/>
    <w:rsid w:val="00F41DAE"/>
    <w:rsid w:val="37173543"/>
    <w:rsid w:val="3FF76880"/>
    <w:rsid w:val="45800FFC"/>
    <w:rsid w:val="469F5196"/>
    <w:rsid w:val="65AF18F0"/>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Pages>
  <Words>1632</Words>
  <Characters>1837</Characters>
  <Lines>16</Lines>
  <Paragraphs>4</Paragraphs>
  <TotalTime>4</TotalTime>
  <ScaleCrop>false</ScaleCrop>
  <LinksUpToDate>false</LinksUpToDate>
  <CharactersWithSpaces>1875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2023-05-11T03:29:00Z</dcterms:created>
  <dc:creator>user</dc:creator>
  <cp:lastModifiedBy>86134</cp:lastModifiedBy>
  <cp:lastPrinted>2022-03-24T10:01:00Z</cp:lastPrinted>
  <dcterms:modified xsi:type="dcterms:W3CDTF">2023-05-19T03:03:02Z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53878A3CE9CA43AA886FF44C67C67C42_12</vt:lpwstr>
  </property>
</Properties>
</file>