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一、部门概况</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（一）机构设置及职责工作任务情况</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部门内设党委工作部、经营投资部、资产经营管理部、人力资源部、财务部等12个职能部门。系统内有2户财政预算单位，分别是北京一商集团有限责任公司本级、北京市商业学校（北京祥龙资产经营有限责任公司党校）。</w:t>
      </w:r>
    </w:p>
    <w:p>
      <w:pPr>
        <w:spacing w:line="600" w:lineRule="exact"/>
        <w:ind w:firstLine="640" w:firstLineChars="200"/>
        <w:rPr>
          <w:rFonts w:ascii="楷体_GB2312" w:eastAsia="楷体_GB2312"/>
          <w:sz w:val="32"/>
          <w:szCs w:val="32"/>
        </w:rPr>
      </w:pPr>
      <w:r>
        <w:rPr>
          <w:rFonts w:hint="eastAsia" w:ascii="仿宋_GB2312" w:hAnsi="宋体" w:eastAsia="仿宋_GB2312" w:cs="宋体"/>
          <w:kern w:val="0"/>
          <w:sz w:val="32"/>
          <w:szCs w:val="32"/>
        </w:rPr>
        <w:t>北京一商集团有限责任公司本级主要职能是负责转制前离退休人员的管理及离退休经费的发放。北京市商业学校（北京祥龙资产经营有限责任公司党校）主要职能是培养中专学历人才，培养中级技术人才，为在职干部提供高等教育与培训服务。</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（二）部门整体绩效目标设立情况</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部门整体绩效目标与部门实际工作密切相关，结合国家现行规定及政策，以及部门发展规划和实际需求进行设立，设立依据充分，绩效目标与部门职责任务相匹配；整体绩效目标明确、清晰、合理、细化、可衡量，符合客观实际及部门中长期发展规划和年度工作目标，项目绩效目标合理。</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w:t>
      </w:r>
      <w:r>
        <w:rPr>
          <w:rFonts w:ascii="黑体" w:hAnsi="黑体" w:eastAsia="黑体" w:cs="宋体"/>
          <w:kern w:val="0"/>
          <w:sz w:val="32"/>
          <w:szCs w:val="32"/>
        </w:rPr>
        <w:t>、</w:t>
      </w:r>
      <w:r>
        <w:rPr>
          <w:rFonts w:hint="eastAsia" w:ascii="黑体" w:hAnsi="黑体" w:eastAsia="黑体" w:cs="宋体"/>
          <w:kern w:val="0"/>
          <w:sz w:val="32"/>
          <w:szCs w:val="32"/>
        </w:rPr>
        <w:t>当年</w:t>
      </w:r>
      <w:r>
        <w:rPr>
          <w:rFonts w:ascii="黑体" w:hAnsi="黑体" w:eastAsia="黑体" w:cs="宋体"/>
          <w:kern w:val="0"/>
          <w:sz w:val="32"/>
          <w:szCs w:val="32"/>
        </w:rPr>
        <w:t>预算执行情况</w:t>
      </w:r>
    </w:p>
    <w:p>
      <w:pPr>
        <w:spacing w:line="600" w:lineRule="exact"/>
        <w:ind w:left="105" w:leftChars="50" w:firstLine="480" w:firstLineChars="150"/>
        <w:rPr>
          <w:rFonts w:ascii="仿宋_GB2312" w:hAnsi="宋体" w:eastAsia="仿宋_GB2312" w:cs="宋体"/>
          <w:kern w:val="0"/>
          <w:sz w:val="32"/>
          <w:szCs w:val="32"/>
        </w:rPr>
      </w:pPr>
      <w:r>
        <w:rPr>
          <w:rFonts w:ascii="仿宋_GB2312" w:hAnsi="宋体" w:eastAsia="仿宋_GB2312" w:cs="宋体"/>
          <w:kern w:val="0"/>
          <w:sz w:val="32"/>
          <w:szCs w:val="32"/>
        </w:rPr>
        <w:t>202</w:t>
      </w:r>
      <w:r>
        <w:rPr>
          <w:rFonts w:hint="eastAsia" w:ascii="仿宋_GB2312" w:hAnsi="宋体" w:eastAsia="仿宋_GB2312" w:cs="宋体"/>
          <w:kern w:val="0"/>
          <w:sz w:val="32"/>
          <w:szCs w:val="32"/>
        </w:rPr>
        <w:t>3年全年预算数</w:t>
      </w:r>
      <w:r>
        <w:rPr>
          <w:rFonts w:ascii="仿宋_GB2312" w:hAnsi="宋体" w:eastAsia="仿宋_GB2312" w:cs="宋体"/>
          <w:kern w:val="0"/>
          <w:sz w:val="32"/>
          <w:szCs w:val="32"/>
        </w:rPr>
        <w:t>22910.97</w:t>
      </w:r>
      <w:r>
        <w:rPr>
          <w:rFonts w:hint="eastAsia" w:ascii="仿宋_GB2312" w:hAnsi="宋体" w:eastAsia="仿宋_GB2312" w:cs="宋体"/>
          <w:kern w:val="0"/>
          <w:sz w:val="32"/>
          <w:szCs w:val="32"/>
        </w:rPr>
        <w:t>万元，其中，基本支出预算数</w:t>
      </w:r>
      <w:r>
        <w:rPr>
          <w:rFonts w:ascii="仿宋_GB2312" w:hAnsi="宋体" w:eastAsia="仿宋_GB2312" w:cs="宋体"/>
          <w:kern w:val="0"/>
          <w:sz w:val="32"/>
          <w:szCs w:val="32"/>
        </w:rPr>
        <w:t>16738.03</w:t>
      </w:r>
      <w:r>
        <w:rPr>
          <w:rFonts w:hint="eastAsia" w:ascii="仿宋_GB2312" w:hAnsi="宋体" w:eastAsia="仿宋_GB2312" w:cs="宋体"/>
          <w:kern w:val="0"/>
          <w:sz w:val="32"/>
          <w:szCs w:val="32"/>
        </w:rPr>
        <w:t>万元，项目支出预算</w:t>
      </w:r>
      <w:r>
        <w:rPr>
          <w:rFonts w:hint="eastAsia" w:ascii="仿宋_GB2312" w:hAnsi="宋体" w:eastAsia="仿宋_GB2312" w:cs="宋体"/>
          <w:kern w:val="0"/>
          <w:sz w:val="32"/>
          <w:szCs w:val="32"/>
          <w:highlight w:val="none"/>
        </w:rPr>
        <w:t>数</w:t>
      </w:r>
      <w:r>
        <w:rPr>
          <w:rFonts w:ascii="仿宋_GB2312" w:hAnsi="宋体" w:eastAsia="仿宋_GB2312" w:cs="宋体"/>
          <w:kern w:val="0"/>
          <w:sz w:val="32"/>
          <w:szCs w:val="32"/>
          <w:highlight w:val="none"/>
        </w:rPr>
        <w:t>6172.94</w:t>
      </w:r>
      <w:r>
        <w:rPr>
          <w:rFonts w:hint="eastAsia" w:ascii="仿宋_GB2312" w:hAnsi="宋体" w:eastAsia="仿宋_GB2312" w:cs="宋体"/>
          <w:kern w:val="0"/>
          <w:sz w:val="32"/>
          <w:szCs w:val="32"/>
          <w:highlight w:val="none"/>
        </w:rPr>
        <w:t>万元，其</w:t>
      </w:r>
      <w:r>
        <w:rPr>
          <w:rFonts w:hint="eastAsia" w:ascii="仿宋_GB2312" w:hAnsi="宋体" w:eastAsia="仿宋_GB2312" w:cs="宋体"/>
          <w:kern w:val="0"/>
          <w:sz w:val="32"/>
          <w:szCs w:val="32"/>
        </w:rPr>
        <w:t>他支出预算数0万元。资金总体支出</w:t>
      </w:r>
      <w:r>
        <w:rPr>
          <w:rFonts w:ascii="仿宋_GB2312" w:hAnsi="宋体" w:eastAsia="仿宋_GB2312" w:cs="宋体"/>
          <w:kern w:val="0"/>
          <w:sz w:val="32"/>
          <w:szCs w:val="32"/>
        </w:rPr>
        <w:t>22827.39</w:t>
      </w:r>
      <w:r>
        <w:rPr>
          <w:rFonts w:hint="eastAsia" w:ascii="仿宋_GB2312" w:hAnsi="宋体" w:eastAsia="仿宋_GB2312" w:cs="宋体"/>
          <w:kern w:val="0"/>
          <w:sz w:val="32"/>
          <w:szCs w:val="32"/>
        </w:rPr>
        <w:t>万元，其中，基本支出</w:t>
      </w:r>
      <w:r>
        <w:rPr>
          <w:rFonts w:ascii="仿宋_GB2312" w:hAnsi="宋体" w:eastAsia="仿宋_GB2312" w:cs="宋体"/>
          <w:kern w:val="0"/>
          <w:sz w:val="32"/>
          <w:szCs w:val="32"/>
        </w:rPr>
        <w:t>16692.67</w:t>
      </w:r>
      <w:r>
        <w:rPr>
          <w:rFonts w:hint="eastAsia" w:ascii="仿宋_GB2312" w:hAnsi="宋体" w:eastAsia="仿宋_GB2312" w:cs="宋体"/>
          <w:kern w:val="0"/>
          <w:sz w:val="32"/>
          <w:szCs w:val="32"/>
        </w:rPr>
        <w:t>万元，项目支出</w:t>
      </w:r>
      <w:r>
        <w:rPr>
          <w:rFonts w:ascii="仿宋_GB2312" w:hAnsi="宋体" w:eastAsia="仿宋_GB2312" w:cs="宋体"/>
          <w:kern w:val="0"/>
          <w:sz w:val="32"/>
          <w:szCs w:val="32"/>
        </w:rPr>
        <w:t>6134.72</w:t>
      </w:r>
      <w:r>
        <w:rPr>
          <w:rFonts w:hint="eastAsia" w:ascii="仿宋_GB2312" w:hAnsi="宋体" w:eastAsia="仿宋_GB2312" w:cs="宋体"/>
          <w:kern w:val="0"/>
          <w:sz w:val="32"/>
          <w:szCs w:val="32"/>
        </w:rPr>
        <w:t>万元，其他支出0万元。预算执行率为</w:t>
      </w:r>
      <w:r>
        <w:rPr>
          <w:rFonts w:ascii="仿宋_GB2312" w:hAnsi="宋体" w:eastAsia="仿宋_GB2312" w:cs="宋体"/>
          <w:kern w:val="0"/>
          <w:sz w:val="32"/>
          <w:szCs w:val="32"/>
        </w:rPr>
        <w:t>99.64</w:t>
      </w:r>
      <w:r>
        <w:rPr>
          <w:rFonts w:hint="eastAsia" w:ascii="仿宋_GB2312" w:hAnsi="宋体" w:eastAsia="仿宋_GB2312" w:cs="宋体"/>
          <w:kern w:val="0"/>
          <w:sz w:val="32"/>
          <w:szCs w:val="32"/>
        </w:rPr>
        <w:t>%。</w:t>
      </w:r>
    </w:p>
    <w:p>
      <w:pPr>
        <w:spacing w:line="600" w:lineRule="exact"/>
        <w:ind w:left="105" w:leftChars="50" w:firstLine="480" w:firstLineChars="150"/>
        <w:rPr>
          <w:rFonts w:ascii="黑体" w:hAnsi="黑体" w:eastAsia="黑体" w:cs="宋体"/>
          <w:kern w:val="0"/>
          <w:sz w:val="32"/>
          <w:szCs w:val="32"/>
        </w:rPr>
      </w:pPr>
      <w:r>
        <w:rPr>
          <w:rFonts w:hint="eastAsia" w:ascii="黑体" w:hAnsi="黑体" w:eastAsia="黑体" w:cs="宋体"/>
          <w:kern w:val="0"/>
          <w:sz w:val="32"/>
          <w:szCs w:val="32"/>
        </w:rPr>
        <w:t>三</w:t>
      </w:r>
      <w:r>
        <w:rPr>
          <w:rFonts w:ascii="黑体" w:hAnsi="黑体" w:eastAsia="黑体" w:cs="宋体"/>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1.产出数量</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严格按照财政项目预算批复执行，对照绩效目标数量指标逐项落实，依法依规开展招标采购工作，验收环节规范严谨，对产出数量严格把关，并按规定完成固定资产入库工作，产出数量准确，完成情况良好。</w:t>
      </w:r>
    </w:p>
    <w:p>
      <w:pPr>
        <w:spacing w:line="600" w:lineRule="exact"/>
        <w:ind w:left="105" w:leftChars="50"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2.产出</w:t>
      </w:r>
      <w:r>
        <w:rPr>
          <w:rFonts w:ascii="仿宋_GB2312" w:hAnsi="宋体" w:eastAsia="仿宋_GB2312" w:cs="宋体"/>
          <w:kern w:val="0"/>
          <w:sz w:val="32"/>
          <w:szCs w:val="32"/>
        </w:rPr>
        <w:t>质量</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财政及部门有关规定开展项目招标采购工作，规范采购程序，为产出质量提供有力保障；项目建设过程中进行监管，不合格的货物或材料不得使用；项目验收时组织多部门联合验收，聘请第三方专业监理公司对工程类项目进行把关，依据国家现行标准对现场进行考核，认真、细致核验质量证明资料，确保项目建成后满足使用要求，产出质量情况良好。</w:t>
      </w:r>
    </w:p>
    <w:p>
      <w:pPr>
        <w:spacing w:line="600" w:lineRule="exact"/>
        <w:ind w:left="105" w:leftChars="50"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3.产出</w:t>
      </w:r>
      <w:r>
        <w:rPr>
          <w:rFonts w:ascii="仿宋_GB2312" w:hAnsi="宋体" w:eastAsia="仿宋_GB2312" w:cs="宋体"/>
          <w:kern w:val="0"/>
          <w:sz w:val="32"/>
          <w:szCs w:val="32"/>
        </w:rPr>
        <w:t>进度</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部门统筹协调，做到年初有培训，执行有计划，过程有监管。项目建设任务分工明确，责任到人，项目负责人终身负责制。执行过程有序衔接，按时完成了项目产出进度。</w:t>
      </w:r>
    </w:p>
    <w:p>
      <w:pPr>
        <w:spacing w:line="600" w:lineRule="exact"/>
        <w:ind w:left="105" w:leftChars="50" w:firstLine="480" w:firstLineChars="150"/>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产出</w:t>
      </w:r>
      <w:r>
        <w:rPr>
          <w:rFonts w:ascii="仿宋_GB2312" w:hAnsi="宋体" w:eastAsia="仿宋_GB2312" w:cs="宋体"/>
          <w:kern w:val="0"/>
          <w:sz w:val="32"/>
          <w:szCs w:val="32"/>
        </w:rPr>
        <w:t>成本</w:t>
      </w:r>
      <w:r>
        <w:rPr>
          <w:rFonts w:hint="eastAsia" w:ascii="仿宋_GB2312" w:hAnsi="宋体" w:eastAsia="仿宋_GB2312" w:cs="宋体"/>
          <w:kern w:val="0"/>
          <w:sz w:val="32"/>
          <w:szCs w:val="32"/>
        </w:rPr>
        <w:t xml:space="preserve">   </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项目预算编制科学、准确、合理，与项目建设目标对应，执行过程中，预算资金能够按照计划执行，严格遵守财政及学校管理制度规定，严格控制成本，完成情况良好。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1.经济</w:t>
      </w:r>
      <w:r>
        <w:rPr>
          <w:rFonts w:ascii="仿宋_GB2312" w:hAnsi="宋体" w:eastAsia="仿宋_GB2312" w:cs="宋体"/>
          <w:kern w:val="0"/>
          <w:sz w:val="32"/>
          <w:szCs w:val="32"/>
        </w:rPr>
        <w:t>效益</w:t>
      </w:r>
      <w:bookmarkStart w:id="0" w:name="_GoBack"/>
      <w:bookmarkEnd w:id="0"/>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严格按照设定的绩效目标执行，通过项目建设，采用先进的技术设备，对部门及领域内的教育教学和课程、专业发展，切实起到了促进和提升作用，带来了经济效益。</w:t>
      </w:r>
    </w:p>
    <w:p>
      <w:pPr>
        <w:spacing w:line="600" w:lineRule="exact"/>
        <w:ind w:left="105" w:leftChars="50"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2.社会效益</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严格按照设定的绩效目标执行，通过项目建设，提升了部门整体办学水平和教学能力，促进了学生的学习及技能提升，结合社会需求，为社会培育了更多、更优秀的社会人才，促进了社会的发展。</w:t>
      </w:r>
    </w:p>
    <w:p>
      <w:pPr>
        <w:spacing w:line="600" w:lineRule="exact"/>
        <w:ind w:left="105" w:leftChars="50"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3.环境效益</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严格按照设定的绩效目标执行，项目建设时采用的新设备和技术充分考虑水电能源节约问题，全部为技能产品，大大降低了水电能耗，所有新设备和装饰装修所用的材料均满足国家环保要求，项目验收时进行第三方空气检测，室内空气质量优良率明显提升。</w:t>
      </w:r>
    </w:p>
    <w:p>
      <w:pPr>
        <w:spacing w:line="600" w:lineRule="exact"/>
        <w:ind w:left="105" w:leftChars="50"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4.可持续</w:t>
      </w:r>
      <w:r>
        <w:rPr>
          <w:rFonts w:ascii="仿宋_GB2312" w:hAnsi="宋体" w:eastAsia="仿宋_GB2312" w:cs="宋体"/>
          <w:kern w:val="0"/>
          <w:sz w:val="32"/>
          <w:szCs w:val="32"/>
        </w:rPr>
        <w:t>性影响</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严格按照设定的绩效目标执行，项目建成后，项目成果持续发挥作用，对部门及各专业未来可持续发展带来持久影响。</w:t>
      </w:r>
    </w:p>
    <w:p>
      <w:pPr>
        <w:spacing w:line="600" w:lineRule="exact"/>
        <w:ind w:left="105" w:leftChars="50"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5.服务对象</w:t>
      </w:r>
      <w:r>
        <w:rPr>
          <w:rFonts w:ascii="仿宋_GB2312" w:hAnsi="宋体" w:eastAsia="仿宋_GB2312" w:cs="宋体"/>
          <w:kern w:val="0"/>
          <w:sz w:val="32"/>
          <w:szCs w:val="32"/>
        </w:rPr>
        <w:t>满意度</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项目设立贴合师生使用需求，执行时严格落实设定的绩效目标，项目建成后，切实满足了师生的实际需求，得到了广大师生的广泛认可。</w:t>
      </w:r>
    </w:p>
    <w:p>
      <w:pPr>
        <w:spacing w:line="600" w:lineRule="exact"/>
        <w:ind w:left="105" w:leftChars="50" w:firstLine="480" w:firstLineChars="150"/>
        <w:rPr>
          <w:rFonts w:ascii="黑体" w:hAnsi="黑体" w:eastAsia="黑体" w:cs="宋体"/>
          <w:kern w:val="0"/>
          <w:sz w:val="32"/>
          <w:szCs w:val="32"/>
        </w:rPr>
      </w:pPr>
      <w:r>
        <w:rPr>
          <w:rFonts w:hint="eastAsia" w:ascii="黑体" w:hAnsi="黑体" w:eastAsia="黑体" w:cs="宋体"/>
          <w:kern w:val="0"/>
          <w:sz w:val="32"/>
          <w:szCs w:val="32"/>
        </w:rPr>
        <w:t>四</w:t>
      </w:r>
      <w:r>
        <w:rPr>
          <w:rFonts w:ascii="黑体" w:hAnsi="黑体" w:eastAsia="黑体" w:cs="宋体"/>
          <w:kern w:val="0"/>
          <w:sz w:val="32"/>
          <w:szCs w:val="32"/>
        </w:rPr>
        <w:t>、预算管理</w:t>
      </w:r>
      <w:r>
        <w:rPr>
          <w:rFonts w:hint="eastAsia" w:ascii="黑体" w:hAnsi="黑体" w:eastAsia="黑体" w:cs="宋体"/>
          <w:kern w:val="0"/>
          <w:sz w:val="32"/>
          <w:szCs w:val="32"/>
        </w:rPr>
        <w:t>情况分</w:t>
      </w:r>
      <w:r>
        <w:rPr>
          <w:rFonts w:ascii="黑体" w:hAnsi="黑体" w:eastAsia="黑体" w:cs="宋体"/>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1.财务</w:t>
      </w:r>
      <w:r>
        <w:rPr>
          <w:rFonts w:ascii="仿宋_GB2312" w:hAnsi="宋体" w:eastAsia="仿宋_GB2312" w:cs="宋体"/>
          <w:kern w:val="0"/>
          <w:sz w:val="32"/>
          <w:szCs w:val="32"/>
          <w:highlight w:val="none"/>
        </w:rPr>
        <w:t>管理制度健全性</w:t>
      </w:r>
    </w:p>
    <w:p>
      <w:pPr>
        <w:spacing w:line="600" w:lineRule="exact"/>
        <w:ind w:left="105" w:leftChars="50" w:firstLine="480" w:firstLineChars="15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紧紧围绕财务工作规范化管理需要，加强制度建设，规范业务流程。先后修订完善了《预算管理办法》、《财务报销管理办法》、《差旅费报销管理办法》、《劳务费发放管理办法》等制度规定，配套出台《月度预算管理细则》、《财务报销工作指南》等具体实施细则。</w:t>
      </w:r>
    </w:p>
    <w:p>
      <w:pPr>
        <w:spacing w:line="600" w:lineRule="exact"/>
        <w:ind w:left="105" w:leftChars="50"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2.资金使用合规性</w:t>
      </w:r>
      <w:r>
        <w:rPr>
          <w:rFonts w:ascii="仿宋_GB2312" w:hAnsi="宋体" w:eastAsia="仿宋_GB2312" w:cs="宋体"/>
          <w:kern w:val="0"/>
          <w:sz w:val="32"/>
          <w:szCs w:val="32"/>
        </w:rPr>
        <w:t>和安全性</w:t>
      </w:r>
    </w:p>
    <w:p>
      <w:pPr>
        <w:spacing w:line="600" w:lineRule="exact"/>
        <w:ind w:left="105" w:leftChars="50" w:firstLine="480" w:firstLineChars="150"/>
        <w:rPr>
          <w:rFonts w:ascii="仿宋_GB2312" w:hAnsi="宋体" w:eastAsia="仿宋_GB2312" w:cs="宋体"/>
          <w:kern w:val="0"/>
          <w:sz w:val="32"/>
          <w:szCs w:val="32"/>
        </w:rPr>
      </w:pPr>
      <w:r>
        <w:rPr>
          <w:rFonts w:hint="eastAsia" w:ascii="仿宋_GB2312" w:eastAsia="仿宋_GB2312"/>
          <w:sz w:val="32"/>
          <w:szCs w:val="32"/>
        </w:rPr>
        <w:t>严格执行财政预算批复内容，严格按照部门财务管理制度和项目工作管理办法执行，强化过程管控，上下联动，加强对预算审批的管理，程序严谨，手续齐全，对预算经费的每一分钱都严格把关，专款专用，避免资金浪费，资金管理情况良好，资金使用依法依规。</w:t>
      </w:r>
    </w:p>
    <w:p>
      <w:pPr>
        <w:spacing w:line="600" w:lineRule="exact"/>
        <w:ind w:left="105" w:leftChars="50" w:firstLine="480" w:firstLineChars="15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会计</w:t>
      </w:r>
      <w:r>
        <w:rPr>
          <w:rFonts w:ascii="仿宋_GB2312" w:hAnsi="宋体" w:eastAsia="仿宋_GB2312" w:cs="宋体"/>
          <w:kern w:val="0"/>
          <w:sz w:val="32"/>
          <w:szCs w:val="32"/>
        </w:rPr>
        <w:t>基础信息完善性</w:t>
      </w:r>
    </w:p>
    <w:p>
      <w:pPr>
        <w:spacing w:line="600" w:lineRule="exact"/>
        <w:ind w:left="105" w:leftChars="50"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严格按照预算支出内容及科目分类，准确记录每一笔支出项目，及时完善单位的财务状况和现金流量等信息，有效的反映单位过去所发生的财务信息。严格把控单位整体及每个项目的支出内容及进度，并和预算进行比较，及时提出预警或建议信息。</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p>
    <w:p>
      <w:pPr>
        <w:spacing w:line="600" w:lineRule="exact"/>
        <w:ind w:left="105" w:leftChars="50" w:firstLine="480" w:firstLineChars="150"/>
        <w:rPr>
          <w:rFonts w:ascii="仿宋_GB2312" w:eastAsia="仿宋_GB2312"/>
          <w:sz w:val="32"/>
          <w:szCs w:val="32"/>
        </w:rPr>
      </w:pPr>
      <w:r>
        <w:rPr>
          <w:rFonts w:hint="eastAsia" w:ascii="仿宋_GB2312" w:eastAsia="仿宋_GB2312"/>
          <w:sz w:val="32"/>
          <w:szCs w:val="32"/>
        </w:rPr>
        <w:t>落实</w:t>
      </w:r>
      <w:r>
        <w:rPr>
          <w:rFonts w:ascii="仿宋_GB2312" w:eastAsia="仿宋_GB2312"/>
          <w:sz w:val="32"/>
          <w:szCs w:val="32"/>
        </w:rPr>
        <w:t>财政</w:t>
      </w:r>
      <w:r>
        <w:rPr>
          <w:rFonts w:hint="eastAsia" w:ascii="仿宋_GB2312" w:eastAsia="仿宋_GB2312"/>
          <w:sz w:val="32"/>
          <w:szCs w:val="32"/>
        </w:rPr>
        <w:t>和</w:t>
      </w:r>
      <w:r>
        <w:rPr>
          <w:rFonts w:ascii="仿宋_GB2312" w:eastAsia="仿宋_GB2312"/>
          <w:sz w:val="32"/>
          <w:szCs w:val="32"/>
        </w:rPr>
        <w:t>上级要求，建设和完善</w:t>
      </w:r>
      <w:r>
        <w:rPr>
          <w:rFonts w:hint="eastAsia" w:ascii="仿宋_GB2312" w:eastAsia="仿宋_GB2312"/>
          <w:sz w:val="32"/>
          <w:szCs w:val="32"/>
        </w:rPr>
        <w:t>部门</w:t>
      </w:r>
      <w:r>
        <w:rPr>
          <w:rFonts w:ascii="仿宋_GB2312" w:eastAsia="仿宋_GB2312"/>
          <w:sz w:val="32"/>
          <w:szCs w:val="32"/>
        </w:rPr>
        <w:t>资产</w:t>
      </w:r>
      <w:r>
        <w:rPr>
          <w:rFonts w:hint="eastAsia" w:ascii="仿宋_GB2312" w:eastAsia="仿宋_GB2312"/>
          <w:sz w:val="32"/>
          <w:szCs w:val="32"/>
        </w:rPr>
        <w:t>管理</w:t>
      </w:r>
      <w:r>
        <w:rPr>
          <w:rFonts w:ascii="仿宋_GB2312" w:eastAsia="仿宋_GB2312"/>
          <w:sz w:val="32"/>
          <w:szCs w:val="32"/>
        </w:rPr>
        <w:t>制度</w:t>
      </w:r>
      <w:r>
        <w:rPr>
          <w:rFonts w:hint="eastAsia" w:ascii="仿宋_GB2312" w:eastAsia="仿宋_GB2312"/>
          <w:sz w:val="32"/>
          <w:szCs w:val="32"/>
        </w:rPr>
        <w:t>。严格按照规定的配置标准，没有配置标准的，结合单位履职需要和事业发展需求，厉行节约，合理配置</w:t>
      </w:r>
      <w:r>
        <w:rPr>
          <w:rFonts w:ascii="仿宋_GB2312" w:eastAsia="仿宋_GB2312"/>
          <w:sz w:val="32"/>
          <w:szCs w:val="32"/>
        </w:rPr>
        <w:t>。</w:t>
      </w:r>
      <w:r>
        <w:rPr>
          <w:rFonts w:hint="eastAsia" w:ascii="仿宋_GB2312" w:eastAsia="仿宋_GB2312"/>
          <w:sz w:val="32"/>
          <w:szCs w:val="32"/>
        </w:rPr>
        <w:t>及时</w:t>
      </w:r>
      <w:r>
        <w:rPr>
          <w:rFonts w:ascii="仿宋_GB2312" w:eastAsia="仿宋_GB2312"/>
          <w:sz w:val="32"/>
          <w:szCs w:val="32"/>
        </w:rPr>
        <w:t>验收入库，提高效能，确保资产安全完整。</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ind w:firstLine="640" w:firstLineChars="200"/>
        <w:rPr>
          <w:rFonts w:ascii="仿宋_GB2312" w:eastAsia="仿宋_GB2312"/>
          <w:sz w:val="32"/>
          <w:szCs w:val="32"/>
        </w:rPr>
      </w:pPr>
      <w:r>
        <w:rPr>
          <w:rFonts w:hint="eastAsia" w:ascii="仿宋_GB2312" w:eastAsia="仿宋_GB2312"/>
          <w:sz w:val="32"/>
          <w:szCs w:val="32"/>
        </w:rPr>
        <w:t>1、领导高度重视绩效管理的主体责任，强化绩效管理主体责任意识，切实做好绩效管理工作，提高财政资金的使用效益和管理水平。</w:t>
      </w:r>
    </w:p>
    <w:p>
      <w:pPr>
        <w:ind w:firstLine="640" w:firstLineChars="200"/>
        <w:rPr>
          <w:rFonts w:ascii="仿宋_GB2312" w:eastAsia="仿宋_GB2312"/>
          <w:sz w:val="32"/>
          <w:szCs w:val="32"/>
        </w:rPr>
      </w:pPr>
      <w:r>
        <w:rPr>
          <w:rFonts w:hint="eastAsia" w:ascii="仿宋_GB2312" w:eastAsia="仿宋_GB2312"/>
          <w:sz w:val="32"/>
          <w:szCs w:val="32"/>
        </w:rPr>
        <w:t>2、按照财政有关预算绩效管理制度和要求，结合单位实际情况，责成预算单位强化认识，认真履行预算绩效管理主体责任，严格落实全过程预算绩效管理，做到“用钱必问效，无效必问责”，切实用好每一分钱；做好绩效评价结果的反馈工作，强化评价结果的应用，更好地促进和提升部门项目管理工作。</w:t>
      </w:r>
    </w:p>
    <w:p>
      <w:pPr>
        <w:ind w:firstLine="640" w:firstLineChars="200"/>
        <w:rPr>
          <w:rFonts w:ascii="仿宋_GB2312" w:eastAsia="仿宋_GB2312"/>
          <w:sz w:val="32"/>
          <w:szCs w:val="32"/>
        </w:rPr>
      </w:pPr>
      <w:r>
        <w:rPr>
          <w:rFonts w:hint="eastAsia" w:ascii="仿宋_GB2312" w:eastAsia="仿宋_GB2312"/>
          <w:sz w:val="32"/>
          <w:szCs w:val="32"/>
        </w:rPr>
        <w:t>3、执行过程中严格按照绩效目标执行，强化责任意识，加强对项目负责人的培训，加强执行过程中各环节的管控，逐级审核，确保了绩效指标能够按要求完成，绩效指标的建设及完成情况良好。</w:t>
      </w:r>
    </w:p>
    <w:p>
      <w:pPr>
        <w:ind w:firstLine="640" w:firstLineChars="200"/>
        <w:rPr>
          <w:rFonts w:ascii="仿宋_GB2312" w:eastAsia="仿宋_GB2312"/>
          <w:sz w:val="32"/>
          <w:szCs w:val="32"/>
        </w:rPr>
      </w:pPr>
      <w:r>
        <w:rPr>
          <w:rFonts w:hint="eastAsia" w:ascii="仿宋_GB2312" w:eastAsia="仿宋_GB2312"/>
          <w:sz w:val="32"/>
          <w:szCs w:val="32"/>
        </w:rPr>
        <w:t>4、通过预算绩效管理工作，促进了部门整体项目管理工作，自上而下提高了对绩效管理工作的认识和重视程度，调动了项目管理人员的积极性和主动性，加强了项目管理工作中的沟通与交流，提升了服务质量和工作效能，为圆满完成项目工作提供了有力保障。</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（四）结转结余率</w:t>
      </w:r>
    </w:p>
    <w:p>
      <w:pPr>
        <w:ind w:firstLine="640" w:firstLineChars="200"/>
        <w:rPr>
          <w:rFonts w:ascii="仿宋_GB2312" w:eastAsia="仿宋_GB2312"/>
          <w:sz w:val="32"/>
          <w:szCs w:val="32"/>
        </w:rPr>
      </w:pPr>
      <w:r>
        <w:rPr>
          <w:rFonts w:hint="eastAsia" w:ascii="仿宋_GB2312" w:eastAsia="仿宋_GB2312"/>
          <w:sz w:val="32"/>
          <w:szCs w:val="32"/>
        </w:rPr>
        <w:t>2023年末部门结余资金</w:t>
      </w:r>
      <w:r>
        <w:rPr>
          <w:rFonts w:ascii="仿宋_GB2312" w:eastAsia="仿宋_GB2312"/>
          <w:sz w:val="32"/>
          <w:szCs w:val="32"/>
        </w:rPr>
        <w:t>83.58</w:t>
      </w:r>
      <w:r>
        <w:rPr>
          <w:rFonts w:hint="eastAsia" w:ascii="仿宋_GB2312" w:eastAsia="仿宋_GB2312"/>
          <w:sz w:val="32"/>
          <w:szCs w:val="32"/>
        </w:rPr>
        <w:t>万元,结转结余占全年预算支出数</w:t>
      </w:r>
      <w:r>
        <w:rPr>
          <w:rFonts w:ascii="仿宋_GB2312" w:eastAsia="仿宋_GB2312"/>
          <w:sz w:val="32"/>
          <w:szCs w:val="32"/>
        </w:rPr>
        <w:t>22910.97</w:t>
      </w:r>
      <w:r>
        <w:rPr>
          <w:rFonts w:hint="eastAsia" w:ascii="仿宋_GB2312" w:eastAsia="仿宋_GB2312"/>
          <w:sz w:val="32"/>
          <w:szCs w:val="32"/>
        </w:rPr>
        <w:t>的百分比为</w:t>
      </w:r>
      <w:r>
        <w:rPr>
          <w:rFonts w:ascii="仿宋_GB2312" w:eastAsia="仿宋_GB2312"/>
          <w:sz w:val="32"/>
          <w:szCs w:val="32"/>
        </w:rPr>
        <w:t>0.36%</w:t>
      </w:r>
      <w:r>
        <w:rPr>
          <w:rFonts w:hint="eastAsia" w:ascii="仿宋_GB2312" w:eastAsia="仿宋_GB2312"/>
          <w:sz w:val="32"/>
          <w:szCs w:val="32"/>
        </w:rPr>
        <w:t>。</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pPr>
        <w:ind w:firstLine="640" w:firstLineChars="200"/>
        <w:rPr>
          <w:rFonts w:ascii="仿宋_GB2312" w:eastAsia="仿宋_GB2312"/>
          <w:sz w:val="32"/>
          <w:szCs w:val="32"/>
        </w:rPr>
      </w:pPr>
      <w:r>
        <w:rPr>
          <w:rFonts w:hint="eastAsia" w:ascii="仿宋_GB2312" w:eastAsia="仿宋_GB2312"/>
          <w:sz w:val="32"/>
          <w:szCs w:val="32"/>
        </w:rPr>
        <w:t>2023年度部门预算数</w:t>
      </w:r>
      <w:r>
        <w:rPr>
          <w:rFonts w:ascii="仿宋_GB2312" w:eastAsia="仿宋_GB2312"/>
          <w:sz w:val="32"/>
          <w:szCs w:val="32"/>
        </w:rPr>
        <w:t>23715.73</w:t>
      </w:r>
      <w:r>
        <w:rPr>
          <w:rFonts w:hint="eastAsia" w:ascii="仿宋_GB2312" w:eastAsia="仿宋_GB2312"/>
          <w:sz w:val="32"/>
          <w:szCs w:val="32"/>
        </w:rPr>
        <w:t>万元，决算数</w:t>
      </w:r>
      <w:r>
        <w:rPr>
          <w:rFonts w:ascii="仿宋_GB2312" w:eastAsia="仿宋_GB2312"/>
          <w:sz w:val="32"/>
          <w:szCs w:val="32"/>
        </w:rPr>
        <w:t>22910.98</w:t>
      </w:r>
      <w:r>
        <w:rPr>
          <w:rFonts w:hint="eastAsia" w:ascii="仿宋_GB2312" w:eastAsia="仿宋_GB2312"/>
          <w:sz w:val="32"/>
          <w:szCs w:val="32"/>
        </w:rPr>
        <w:t>万元，差异率为</w:t>
      </w:r>
      <w:r>
        <w:rPr>
          <w:rFonts w:ascii="仿宋_GB2312" w:eastAsia="仿宋_GB2312"/>
          <w:sz w:val="32"/>
          <w:szCs w:val="32"/>
        </w:rPr>
        <w:t>3.39</w:t>
      </w:r>
      <w:r>
        <w:rPr>
          <w:rFonts w:hint="eastAsia" w:ascii="仿宋_GB2312" w:eastAsia="仿宋_GB2312"/>
          <w:sz w:val="32"/>
          <w:szCs w:val="32"/>
        </w:rPr>
        <w:t>%。</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left="105" w:leftChars="50" w:firstLine="480" w:firstLineChars="150"/>
        <w:rPr>
          <w:rFonts w:ascii="楷体_GB2312" w:eastAsia="楷体_GB2312"/>
          <w:sz w:val="32"/>
          <w:szCs w:val="32"/>
        </w:rPr>
      </w:pPr>
      <w:r>
        <w:rPr>
          <w:rFonts w:hint="eastAsia" w:ascii="仿宋_GB2312" w:eastAsia="仿宋_GB2312"/>
          <w:sz w:val="32"/>
          <w:szCs w:val="32"/>
          <w:highlight w:val="none"/>
        </w:rPr>
        <w:t>2024年，北京一商集团有限责任公司对2023年度部门项目支出实施了绩效评价，评价项目30个，占部门项目总数的100%，涉及金额</w:t>
      </w:r>
      <w:r>
        <w:rPr>
          <w:rFonts w:hint="eastAsia" w:ascii="仿宋_GB2312" w:eastAsia="仿宋_GB2312"/>
          <w:sz w:val="32"/>
          <w:szCs w:val="32"/>
          <w:highlight w:val="none"/>
          <w:lang w:val="en-US" w:eastAsia="zh-CN"/>
        </w:rPr>
        <w:t>6158.70</w:t>
      </w:r>
      <w:r>
        <w:rPr>
          <w:rFonts w:hint="eastAsia" w:ascii="仿宋_GB2312" w:eastAsia="仿宋_GB2312"/>
          <w:sz w:val="32"/>
          <w:szCs w:val="32"/>
          <w:highlight w:val="none"/>
        </w:rPr>
        <w:t>万元。其中，部门评价项目1个，涉及金额498.881546万元，评价得分在90（含）-100分的1个、评价得分在80（含）-90分的0个、评价得分在60（含）-80分的0个、评价得分在60分以下的0个。单位自评项目30个，涉及金额</w:t>
      </w:r>
      <w:r>
        <w:rPr>
          <w:rFonts w:hint="eastAsia" w:ascii="仿宋_GB2312" w:eastAsia="仿宋_GB2312"/>
          <w:sz w:val="32"/>
          <w:szCs w:val="32"/>
          <w:highlight w:val="none"/>
          <w:lang w:val="en-US" w:eastAsia="zh-CN"/>
        </w:rPr>
        <w:t>6158.70</w:t>
      </w:r>
      <w:r>
        <w:rPr>
          <w:rFonts w:hint="eastAsia" w:ascii="仿宋_GB2312" w:eastAsia="仿宋_GB2312"/>
          <w:sz w:val="32"/>
          <w:szCs w:val="32"/>
          <w:highlight w:val="none"/>
        </w:rPr>
        <w:t>万元，评</w:t>
      </w:r>
      <w:r>
        <w:rPr>
          <w:rFonts w:hint="eastAsia" w:ascii="仿宋_GB2312" w:eastAsia="仿宋_GB2312"/>
          <w:sz w:val="32"/>
          <w:szCs w:val="32"/>
        </w:rPr>
        <w:t>价得分在90（含）-100分的30个、评价得分在80（含）-90分的0个、评价得分在60（含）-80分的0个、评价得分在60分以下的0个。</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（二）存在的问题及原因分析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无。</w:t>
      </w:r>
    </w:p>
    <w:p>
      <w:pPr>
        <w:spacing w:line="60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六、措施建议</w:t>
      </w:r>
      <w:r>
        <w:rPr>
          <w:rFonts w:hint="eastAsia" w:ascii="仿宋_GB2312" w:hAnsi="宋体" w:eastAsia="仿宋_GB2312" w:cs="宋体"/>
          <w:kern w:val="0"/>
          <w:sz w:val="32"/>
          <w:szCs w:val="32"/>
        </w:rPr>
        <w:t>（整改措施、下一步工作举措）</w:t>
      </w:r>
    </w:p>
    <w:p>
      <w:pPr>
        <w:ind w:firstLine="640" w:firstLineChars="200"/>
        <w:rPr>
          <w:rFonts w:ascii="仿宋_GB2312" w:eastAsia="仿宋_GB2312"/>
          <w:sz w:val="32"/>
          <w:szCs w:val="32"/>
        </w:rPr>
      </w:pPr>
      <w:r>
        <w:rPr>
          <w:rFonts w:hint="eastAsia" w:ascii="仿宋_GB2312" w:eastAsia="仿宋_GB2312"/>
          <w:sz w:val="32"/>
          <w:szCs w:val="32"/>
        </w:rPr>
        <w:t>无。</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zYmFkY2E3NDQxNWJhYTI2Y2NhNDQ1Y2U1M2JmZTkifQ=="/>
  </w:docVars>
  <w:rsids>
    <w:rsidRoot w:val="F77F09F4"/>
    <w:rsid w:val="00044E18"/>
    <w:rsid w:val="0005164B"/>
    <w:rsid w:val="00186EA2"/>
    <w:rsid w:val="0021639C"/>
    <w:rsid w:val="00220DB1"/>
    <w:rsid w:val="00351A04"/>
    <w:rsid w:val="0036167E"/>
    <w:rsid w:val="003E4CF9"/>
    <w:rsid w:val="0043139E"/>
    <w:rsid w:val="004736E2"/>
    <w:rsid w:val="004C7E79"/>
    <w:rsid w:val="004D49FE"/>
    <w:rsid w:val="005267C5"/>
    <w:rsid w:val="00530955"/>
    <w:rsid w:val="00575030"/>
    <w:rsid w:val="00583B67"/>
    <w:rsid w:val="00643D49"/>
    <w:rsid w:val="00676CF9"/>
    <w:rsid w:val="00685A55"/>
    <w:rsid w:val="006945EA"/>
    <w:rsid w:val="00725090"/>
    <w:rsid w:val="0075222C"/>
    <w:rsid w:val="00845E24"/>
    <w:rsid w:val="00870B4A"/>
    <w:rsid w:val="008E115A"/>
    <w:rsid w:val="00902955"/>
    <w:rsid w:val="00940179"/>
    <w:rsid w:val="00962874"/>
    <w:rsid w:val="009D5A19"/>
    <w:rsid w:val="00A16318"/>
    <w:rsid w:val="00A56210"/>
    <w:rsid w:val="00A65F16"/>
    <w:rsid w:val="00A93861"/>
    <w:rsid w:val="00AF6587"/>
    <w:rsid w:val="00B144F7"/>
    <w:rsid w:val="00B21F77"/>
    <w:rsid w:val="00B32E5D"/>
    <w:rsid w:val="00B9388C"/>
    <w:rsid w:val="00BA5ED2"/>
    <w:rsid w:val="00C50102"/>
    <w:rsid w:val="00C857AB"/>
    <w:rsid w:val="00D03785"/>
    <w:rsid w:val="00D76D05"/>
    <w:rsid w:val="00D86F0E"/>
    <w:rsid w:val="00D96FBE"/>
    <w:rsid w:val="00DA4F62"/>
    <w:rsid w:val="00DF2320"/>
    <w:rsid w:val="00E015B3"/>
    <w:rsid w:val="00F81542"/>
    <w:rsid w:val="00F923CF"/>
    <w:rsid w:val="00FF0A86"/>
    <w:rsid w:val="01407622"/>
    <w:rsid w:val="0CEE2BC6"/>
    <w:rsid w:val="122A0F06"/>
    <w:rsid w:val="13F15AF0"/>
    <w:rsid w:val="17390B56"/>
    <w:rsid w:val="37173543"/>
    <w:rsid w:val="3FF76880"/>
    <w:rsid w:val="41D37BFE"/>
    <w:rsid w:val="4716123D"/>
    <w:rsid w:val="4D6F07AD"/>
    <w:rsid w:val="577057DF"/>
    <w:rsid w:val="5ECA2A05"/>
    <w:rsid w:val="64426F51"/>
    <w:rsid w:val="66543E7C"/>
    <w:rsid w:val="7AB7FF50"/>
    <w:rsid w:val="7BFEB0DB"/>
    <w:rsid w:val="CEFD3F3D"/>
    <w:rsid w:val="EA3F77F2"/>
    <w:rsid w:val="EEFE5989"/>
    <w:rsid w:val="EFCF3EAE"/>
    <w:rsid w:val="F5B764A2"/>
    <w:rsid w:val="F77F09F4"/>
    <w:rsid w:val="FFD7BFFC"/>
    <w:rsid w:val="FFFA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5"/>
    <w:qFormat/>
    <w:uiPriority w:val="0"/>
    <w:rPr>
      <w:b/>
      <w:bCs/>
    </w:rPr>
  </w:style>
  <w:style w:type="character" w:styleId="10">
    <w:name w:val="annotation reference"/>
    <w:basedOn w:val="9"/>
    <w:qFormat/>
    <w:uiPriority w:val="0"/>
    <w:rPr>
      <w:sz w:val="21"/>
      <w:szCs w:val="21"/>
    </w:rPr>
  </w:style>
  <w:style w:type="paragraph" w:customStyle="1" w:styleId="11">
    <w:name w:val="列出段落1"/>
    <w:basedOn w:val="1"/>
    <w:qFormat/>
    <w:uiPriority w:val="34"/>
    <w:pPr>
      <w:ind w:firstLine="420" w:firstLineChars="200"/>
    </w:pPr>
    <w:rPr>
      <w:rFonts w:ascii="Calibri" w:hAnsi="Calibri" w:cs="黑体"/>
      <w:szCs w:val="22"/>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3">
    <w:name w:val="批注框文本 字符"/>
    <w:basedOn w:val="9"/>
    <w:link w:val="4"/>
    <w:qFormat/>
    <w:uiPriority w:val="0"/>
    <w:rPr>
      <w:rFonts w:ascii="Times New Roman" w:hAnsi="Times New Roman" w:eastAsia="宋体" w:cs="Times New Roman"/>
      <w:kern w:val="2"/>
      <w:sz w:val="18"/>
      <w:szCs w:val="18"/>
    </w:rPr>
  </w:style>
  <w:style w:type="character" w:customStyle="1" w:styleId="14">
    <w:name w:val="批注文字 字符"/>
    <w:basedOn w:val="9"/>
    <w:link w:val="3"/>
    <w:qFormat/>
    <w:uiPriority w:val="0"/>
    <w:rPr>
      <w:rFonts w:ascii="Times New Roman" w:hAnsi="Times New Roman" w:eastAsia="宋体" w:cs="Times New Roman"/>
      <w:kern w:val="2"/>
      <w:sz w:val="21"/>
      <w:szCs w:val="24"/>
    </w:rPr>
  </w:style>
  <w:style w:type="character" w:customStyle="1" w:styleId="15">
    <w:name w:val="批注主题 字符"/>
    <w:basedOn w:val="14"/>
    <w:link w:val="7"/>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Pages>
  <Words>428</Words>
  <Characters>2445</Characters>
  <Lines>20</Lines>
  <Paragraphs>5</Paragraphs>
  <TotalTime>7</TotalTime>
  <ScaleCrop>false</ScaleCrop>
  <LinksUpToDate>false</LinksUpToDate>
  <CharactersWithSpaces>2868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2024-05-16T02:18:00Z</dcterms:created>
  <dc:creator>user</dc:creator>
  <cp:lastModifiedBy>86134</cp:lastModifiedBy>
  <cp:lastPrinted>2022-03-24T10:01:00Z</cp:lastPrinted>
  <dcterms:modified xsi:type="dcterms:W3CDTF">2024-05-16T09:26:55Z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B2F1AB1E1BF14C1CBF10D78786F0361F_12</vt:lpwstr>
  </property>
</Properties>
</file>