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36"/>
          <w:szCs w:val="36"/>
        </w:rPr>
      </w:pPr>
      <w:r>
        <w:rPr>
          <w:rFonts w:hint="eastAsia" w:ascii="黑体" w:hAnsi="黑体" w:eastAsia="黑体"/>
          <w:sz w:val="36"/>
          <w:szCs w:val="36"/>
        </w:rPr>
        <w:t>项目支出绩效评价报告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bookmarkStart w:id="0" w:name="_GoBack"/>
      <w:bookmarkEnd w:id="0"/>
    </w:p>
    <w:p>
      <w:pPr>
        <w:spacing w:line="360" w:lineRule="auto"/>
        <w:ind w:firstLine="560" w:firstLineChars="200"/>
        <w:outlineLvl w:val="0"/>
        <w:rPr>
          <w:rFonts w:ascii="仿宋" w:hAnsi="仿宋" w:eastAsia="仿宋" w:cs="仿宋"/>
          <w:b/>
          <w:bCs/>
          <w:sz w:val="28"/>
          <w:szCs w:val="28"/>
        </w:rPr>
      </w:pPr>
      <w:r>
        <w:rPr>
          <w:rFonts w:hint="eastAsia" w:ascii="仿宋" w:hAnsi="仿宋" w:eastAsia="仿宋" w:cs="仿宋"/>
          <w:b/>
          <w:bCs/>
          <w:sz w:val="28"/>
          <w:szCs w:val="28"/>
        </w:rPr>
        <w:t>1.项目背景</w:t>
      </w:r>
    </w:p>
    <w:p>
      <w:pPr>
        <w:adjustRightInd w:val="0"/>
        <w:snapToGrid w:val="0"/>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我校主校区地处京城亚奥北部，学校占地300余亩。近年来学校全面地跨越式发展，学校被授予国家首批中等职业学校教育改革发展示范校、国家级重点中等职业学校、全国教育系统先进集体、全国中职德育实验基地学校、北京市职业教育先进单位、北京市特色高水平学校等荣誉称号。</w:t>
      </w:r>
    </w:p>
    <w:p>
      <w:pPr>
        <w:spacing w:line="360" w:lineRule="auto"/>
        <w:ind w:firstLine="560" w:firstLineChars="200"/>
        <w:outlineLvl w:val="0"/>
        <w:rPr>
          <w:rFonts w:ascii="仿宋" w:hAnsi="仿宋" w:eastAsia="仿宋" w:cs="仿宋"/>
          <w:sz w:val="28"/>
          <w:szCs w:val="28"/>
        </w:rPr>
      </w:pPr>
      <w:r>
        <w:rPr>
          <w:rFonts w:hint="eastAsia" w:ascii="仿宋" w:hAnsi="仿宋" w:eastAsia="仿宋" w:cs="仿宋"/>
          <w:sz w:val="28"/>
          <w:szCs w:val="28"/>
        </w:rPr>
        <w:t>为贯彻落实《国务院关于加快发展现代职业教育的决定》，加快发展现代职业教育，深化推进职业教育改革创新，通过实施专业群的建设，深化产教结合，加快构建现代职业教育体系，激发职业教育办学活力以及提高人才培养质量，将融合企业、学校双重优势的专业群建设在我校落地。利用一切可以利用的资源，引进5G、大数据、人工智能等信息技术，搭建具有数字化、智能化特点的智能交通运营共享实训基地，有机整合专业群人才培养，契合智能交通的发展需要。</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智能交通服务专业群项目获得北京市特色高水平学校第三批专业群建设资质，主要包括三项工程“智能交通、智能网联汽车、航空运输”实现三类贡献“人才培养质量高、社会服务价值高、技术技能积累与创新程度高”为首都智慧交通发展做出一流贡献，得到国内、国际职业院校一致认可。在课程设置、技术技能、基地共享等方面相近相通、高度融合，使专业群在校企合作、课程、师资队伍、实训基地等资源均可实现共建共享，更有利于不断开创高技能人才辈出的新局面，最终打造成一个集科技研究、人才培养、创新与实践紧密结合的创新平台。</w:t>
      </w:r>
    </w:p>
    <w:p>
      <w:pPr>
        <w:spacing w:line="360" w:lineRule="auto"/>
        <w:ind w:firstLine="560" w:firstLineChars="200"/>
        <w:jc w:val="left"/>
        <w:rPr>
          <w:rFonts w:ascii="仿宋" w:hAnsi="仿宋" w:eastAsia="仿宋" w:cs="仿宋"/>
          <w:b/>
          <w:bCs/>
          <w:sz w:val="28"/>
          <w:szCs w:val="28"/>
        </w:rPr>
      </w:pPr>
      <w:r>
        <w:rPr>
          <w:rFonts w:hint="eastAsia" w:ascii="仿宋" w:hAnsi="仿宋" w:eastAsia="仿宋" w:cs="仿宋"/>
          <w:b/>
          <w:bCs/>
          <w:sz w:val="28"/>
          <w:szCs w:val="28"/>
        </w:rPr>
        <w:t>2.项目主要内容及实施情况</w:t>
      </w:r>
    </w:p>
    <w:p>
      <w:pPr>
        <w:spacing w:line="360" w:lineRule="auto"/>
        <w:ind w:firstLine="560" w:firstLineChars="200"/>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为贯彻北京市“十四五”时期教育改革和发展规划(2021—2025年)精神，增强职业教育适应性，贯彻城教融合发展理念，培养更多高素质技术技能人才；探索现代学徒制与1+X证书制度融合的培养模式，北京市商业学校特申报的智能交通服务专业群项目。该项目获得北京市特色高水平学校第三批专业群建设资质，建设期为3年。建设内容主要包括人才培养模式创新、课程教学资源建设、教材与教法改革、教师教学创新团队、实践教学基地、技术技能平台、社会服务、国际合作与交流、可持续发展保障机制。202</w:t>
      </w:r>
      <w:r>
        <w:rPr>
          <w:rFonts w:hint="eastAsia" w:ascii="仿宋" w:hAnsi="仿宋" w:eastAsia="仿宋" w:cs="仿宋"/>
          <w:sz w:val="28"/>
          <w:szCs w:val="28"/>
          <w:lang w:val="en-US" w:eastAsia="zh-CN"/>
        </w:rPr>
        <w:t>3</w:t>
      </w:r>
      <w:r>
        <w:rPr>
          <w:rFonts w:hint="eastAsia" w:ascii="仿宋" w:hAnsi="仿宋" w:eastAsia="仿宋" w:cs="仿宋"/>
          <w:sz w:val="28"/>
          <w:szCs w:val="28"/>
        </w:rPr>
        <w:t>年度目标：</w:t>
      </w:r>
      <w:r>
        <w:rPr>
          <w:rFonts w:hint="eastAsia" w:ascii="仿宋" w:hAnsi="仿宋" w:eastAsia="仿宋" w:cs="仿宋"/>
          <w:color w:val="000000" w:themeColor="text1"/>
          <w:sz w:val="28"/>
          <w:szCs w:val="28"/>
          <w14:textFill>
            <w14:solidFill>
              <w14:schemeClr w14:val="tx1"/>
            </w14:solidFill>
          </w14:textFill>
        </w:rPr>
        <w:t>初步构建以智能交通服务专业群建设模式，根据专业群的建设需要新增新专业一个，升级老专业一个。开发通识课程资源，新建一个</w:t>
      </w:r>
      <w:r>
        <w:rPr>
          <w:rFonts w:hint="eastAsia" w:ascii="仿宋" w:hAnsi="仿宋" w:eastAsia="仿宋" w:cs="仿宋"/>
          <w:color w:val="auto"/>
          <w:sz w:val="28"/>
          <w:szCs w:val="28"/>
        </w:rPr>
        <w:t>实训基地，成立大师工作室、技术创新中心，校企合作开发工作标准等服务项目。202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年度目标：完善以智</w:t>
      </w:r>
      <w:r>
        <w:rPr>
          <w:rFonts w:hint="eastAsia" w:ascii="仿宋" w:hAnsi="仿宋" w:eastAsia="仿宋" w:cs="仿宋"/>
          <w:color w:val="000000" w:themeColor="text1"/>
          <w:sz w:val="28"/>
          <w:szCs w:val="28"/>
          <w14:textFill>
            <w14:solidFill>
              <w14:schemeClr w14:val="tx1"/>
            </w14:solidFill>
          </w14:textFill>
        </w:rPr>
        <w:t>能交通服务专业群建设模式，根据专业群的建设需要新增新专业一个，升级老专业一个。完善“底层课程共享，中层课程专业化，顶层课程项目融通”的课程体系；开发智能交通技术模块化课程和相关数字化资源；建设智能交通技术相关课程；升级2个校内实训基地，功能提升实训基地智能化品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完成课堂革命创新课题研究；全国交通专业联盟开发实训课程标准，校企开发智能交通运营的课程标准；形成“大师—双导师”培养模式，打造新型“1+4+N”师资队伍；实训基地共建共享。  </w:t>
      </w:r>
    </w:p>
    <w:p>
      <w:pPr>
        <w:spacing w:line="360" w:lineRule="auto"/>
        <w:ind w:firstLine="560" w:firstLineChars="200"/>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为此，</w:t>
      </w:r>
      <w:r>
        <w:rPr>
          <w:rFonts w:hint="eastAsia" w:ascii="仿宋" w:hAnsi="仿宋" w:eastAsia="仿宋" w:cs="仿宋"/>
          <w:color w:val="000000" w:themeColor="text1"/>
          <w:sz w:val="28"/>
          <w:szCs w:val="28"/>
          <w:highlight w:val="none"/>
          <w14:textFill>
            <w14:solidFill>
              <w14:schemeClr w14:val="tx1"/>
            </w14:solidFill>
          </w14:textFill>
        </w:rPr>
        <w:t>项目单位特申报财政专项资金1348.56</w:t>
      </w:r>
      <w:r>
        <w:rPr>
          <w:rFonts w:hint="eastAsia" w:ascii="仿宋" w:hAnsi="仿宋" w:eastAsia="仿宋" w:cs="仿宋"/>
          <w:color w:val="000000" w:themeColor="text1"/>
          <w:sz w:val="28"/>
          <w:szCs w:val="28"/>
          <w:highlight w:val="none"/>
          <w:lang w:val="en-US" w:eastAsia="zh-CN"/>
          <w14:textFill>
            <w14:solidFill>
              <w14:schemeClr w14:val="tx1"/>
            </w14:solidFill>
          </w14:textFill>
        </w:rPr>
        <w:t>2817</w:t>
      </w:r>
      <w:r>
        <w:rPr>
          <w:rFonts w:hint="eastAsia" w:ascii="仿宋" w:hAnsi="仿宋" w:eastAsia="仿宋" w:cs="仿宋"/>
          <w:color w:val="000000" w:themeColor="text1"/>
          <w:sz w:val="28"/>
          <w:szCs w:val="28"/>
          <w:highlight w:val="none"/>
          <w14:textFill>
            <w14:solidFill>
              <w14:schemeClr w14:val="tx1"/>
            </w14:solidFill>
          </w14:textFill>
        </w:rPr>
        <w:t>万元，最终批复1</w:t>
      </w:r>
      <w:r>
        <w:rPr>
          <w:rFonts w:ascii="仿宋" w:hAnsi="仿宋" w:eastAsia="仿宋" w:cs="仿宋"/>
          <w:color w:val="000000" w:themeColor="text1"/>
          <w:sz w:val="28"/>
          <w:szCs w:val="28"/>
          <w:highlight w:val="none"/>
          <w14:textFill>
            <w14:solidFill>
              <w14:schemeClr w14:val="tx1"/>
            </w14:solidFill>
          </w14:textFill>
        </w:rPr>
        <w:t>208.023546</w:t>
      </w:r>
      <w:r>
        <w:rPr>
          <w:rFonts w:hint="eastAsia" w:ascii="仿宋" w:hAnsi="仿宋" w:eastAsia="仿宋" w:cs="仿宋"/>
          <w:color w:val="000000" w:themeColor="text1"/>
          <w:sz w:val="28"/>
          <w:szCs w:val="28"/>
          <w:highlight w:val="none"/>
          <w14:textFill>
            <w14:solidFill>
              <w14:schemeClr w14:val="tx1"/>
            </w14:solidFill>
          </w14:textFill>
        </w:rPr>
        <w:t>万元，分两年执行，2023年</w:t>
      </w:r>
      <w:r>
        <w:rPr>
          <w:rFonts w:hint="eastAsia" w:ascii="仿宋" w:hAnsi="仿宋" w:eastAsia="仿宋" w:cs="仿宋"/>
          <w:sz w:val="28"/>
          <w:szCs w:val="28"/>
          <w:highlight w:val="none"/>
        </w:rPr>
        <w:t>498</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881546</w:t>
      </w:r>
      <w:r>
        <w:rPr>
          <w:rFonts w:hint="eastAsia" w:ascii="仿宋" w:hAnsi="仿宋" w:eastAsia="仿宋" w:cs="仿宋"/>
          <w:color w:val="000000" w:themeColor="text1"/>
          <w:sz w:val="28"/>
          <w:szCs w:val="28"/>
          <w:highlight w:val="none"/>
          <w14:textFill>
            <w14:solidFill>
              <w14:schemeClr w14:val="tx1"/>
            </w14:solidFill>
          </w14:textFill>
        </w:rPr>
        <w:t>万元，2024年709.1420</w:t>
      </w:r>
      <w:r>
        <w:rPr>
          <w:rFonts w:ascii="仿宋" w:hAnsi="仿宋" w:eastAsia="仿宋" w:cs="仿宋"/>
          <w:color w:val="000000" w:themeColor="text1"/>
          <w:sz w:val="28"/>
          <w:szCs w:val="28"/>
          <w:highlight w:val="none"/>
          <w14:textFill>
            <w14:solidFill>
              <w14:schemeClr w14:val="tx1"/>
            </w14:solidFill>
          </w14:textFill>
        </w:rPr>
        <w:t>00</w:t>
      </w:r>
      <w:r>
        <w:rPr>
          <w:rFonts w:hint="eastAsia" w:ascii="仿宋" w:hAnsi="仿宋" w:eastAsia="仿宋" w:cs="仿宋"/>
          <w:color w:val="000000" w:themeColor="text1"/>
          <w:sz w:val="28"/>
          <w:szCs w:val="28"/>
          <w:highlight w:val="none"/>
          <w14:textFill>
            <w14:solidFill>
              <w14:schemeClr w14:val="tx1"/>
            </w14:solidFill>
          </w14:textFill>
        </w:rPr>
        <w:t>万元。主要用于</w:t>
      </w:r>
      <w:r>
        <w:rPr>
          <w:rFonts w:hint="eastAsia" w:ascii="仿宋" w:hAnsi="仿宋" w:eastAsia="仿宋" w:cs="仿宋"/>
          <w:color w:val="000000" w:themeColor="text1"/>
          <w:sz w:val="28"/>
          <w:szCs w:val="28"/>
          <w14:textFill>
            <w14:solidFill>
              <w14:schemeClr w14:val="tx1"/>
            </w14:solidFill>
          </w14:textFill>
        </w:rPr>
        <w:t>实训基地设备购置、实验室环境改造、平台运维费用、课程资源开发等费用。</w:t>
      </w:r>
    </w:p>
    <w:p>
      <w:pPr>
        <w:spacing w:line="360" w:lineRule="auto"/>
        <w:ind w:firstLine="560" w:firstLineChars="200"/>
        <w:outlineLvl w:val="0"/>
        <w:rPr>
          <w:rFonts w:ascii="仿宋" w:hAnsi="仿宋" w:eastAsia="仿宋" w:cs="仿宋"/>
          <w:b/>
          <w:bCs/>
          <w:sz w:val="28"/>
          <w:szCs w:val="28"/>
        </w:rPr>
      </w:pPr>
      <w:r>
        <w:rPr>
          <w:rFonts w:hint="eastAsia" w:ascii="仿宋" w:hAnsi="仿宋" w:eastAsia="仿宋" w:cs="仿宋"/>
          <w:b/>
          <w:bCs/>
          <w:sz w:val="28"/>
          <w:szCs w:val="28"/>
        </w:rPr>
        <w:t>3.资金投入及使用情况</w:t>
      </w:r>
    </w:p>
    <w:p>
      <w:pPr>
        <w:pStyle w:val="12"/>
        <w:spacing w:line="276" w:lineRule="auto"/>
        <w:ind w:firstLine="560"/>
        <w:jc w:val="left"/>
        <w:rPr>
          <w:rFonts w:ascii="仿宋" w:hAnsi="仿宋" w:eastAsia="仿宋" w:cs="仿宋"/>
          <w:sz w:val="28"/>
          <w:szCs w:val="28"/>
        </w:rPr>
      </w:pPr>
      <w:r>
        <w:rPr>
          <w:rFonts w:hint="eastAsia" w:ascii="仿宋" w:hAnsi="仿宋" w:eastAsia="仿宋" w:cs="仿宋"/>
          <w:sz w:val="28"/>
          <w:szCs w:val="28"/>
        </w:rPr>
        <w:t>2023年</w:t>
      </w:r>
      <w:r>
        <w:rPr>
          <w:rFonts w:hint="eastAsia" w:ascii="仿宋" w:hAnsi="仿宋" w:eastAsia="仿宋" w:cs="仿宋"/>
          <w:sz w:val="28"/>
          <w:szCs w:val="28"/>
          <w:lang w:val="en-US" w:eastAsia="zh-CN"/>
        </w:rPr>
        <w:t>初财政批复预算数为</w:t>
      </w:r>
      <w:r>
        <w:rPr>
          <w:rFonts w:hint="eastAsia" w:ascii="仿宋" w:hAnsi="仿宋" w:eastAsia="仿宋" w:cs="仿宋"/>
          <w:sz w:val="28"/>
          <w:szCs w:val="28"/>
        </w:rPr>
        <w:t>498.881546</w:t>
      </w:r>
      <w:r>
        <w:rPr>
          <w:rFonts w:hint="eastAsia" w:ascii="仿宋" w:hAnsi="仿宋" w:eastAsia="仿宋" w:cs="仿宋"/>
          <w:sz w:val="28"/>
          <w:szCs w:val="28"/>
          <w:lang w:val="en-US" w:eastAsia="zh-CN"/>
        </w:rPr>
        <w:t>万元，全年预算数为</w:t>
      </w:r>
      <w:r>
        <w:rPr>
          <w:rFonts w:hint="eastAsia" w:ascii="仿宋" w:hAnsi="仿宋" w:eastAsia="仿宋" w:cs="仿宋"/>
          <w:kern w:val="0"/>
          <w:sz w:val="28"/>
          <w:szCs w:val="28"/>
          <w:highlight w:val="none"/>
        </w:rPr>
        <w:t>496</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780162</w:t>
      </w:r>
      <w:r>
        <w:rPr>
          <w:rFonts w:hint="eastAsia" w:ascii="仿宋" w:hAnsi="仿宋" w:eastAsia="仿宋" w:cs="仿宋"/>
          <w:sz w:val="28"/>
          <w:szCs w:val="28"/>
          <w:highlight w:val="none"/>
          <w:lang w:eastAsia="zh-CN"/>
        </w:rPr>
        <w:t>万</w:t>
      </w:r>
      <w:r>
        <w:rPr>
          <w:rFonts w:hint="eastAsia" w:ascii="仿宋" w:hAnsi="仿宋" w:eastAsia="仿宋" w:cs="仿宋"/>
          <w:sz w:val="28"/>
          <w:szCs w:val="28"/>
        </w:rPr>
        <w:t>元，具体执行数为496</w:t>
      </w:r>
      <w:r>
        <w:rPr>
          <w:rFonts w:hint="eastAsia" w:ascii="仿宋" w:hAnsi="仿宋" w:eastAsia="仿宋" w:cs="仿宋"/>
          <w:sz w:val="28"/>
          <w:szCs w:val="28"/>
          <w:lang w:val="en-US" w:eastAsia="zh-CN"/>
        </w:rPr>
        <w:t>.</w:t>
      </w:r>
      <w:r>
        <w:rPr>
          <w:rFonts w:hint="eastAsia" w:ascii="仿宋" w:hAnsi="仿宋" w:eastAsia="仿宋" w:cs="仿宋"/>
          <w:sz w:val="28"/>
          <w:szCs w:val="28"/>
        </w:rPr>
        <w:t>559608</w:t>
      </w:r>
      <w:r>
        <w:rPr>
          <w:rFonts w:hint="eastAsia" w:ascii="仿宋" w:hAnsi="仿宋" w:eastAsia="仿宋" w:cs="仿宋"/>
          <w:sz w:val="28"/>
          <w:szCs w:val="28"/>
          <w:lang w:val="en-US" w:eastAsia="zh-CN"/>
        </w:rPr>
        <w:t>万</w:t>
      </w:r>
      <w:r>
        <w:rPr>
          <w:rFonts w:hint="eastAsia" w:ascii="仿宋" w:hAnsi="仿宋" w:eastAsia="仿宋" w:cs="仿宋"/>
          <w:sz w:val="28"/>
          <w:szCs w:val="28"/>
        </w:rPr>
        <w:t>元，执行率为</w:t>
      </w:r>
      <w:r>
        <w:rPr>
          <w:rFonts w:hint="eastAsia" w:ascii="仿宋" w:hAnsi="仿宋" w:eastAsia="仿宋" w:cs="仿宋"/>
          <w:sz w:val="28"/>
          <w:szCs w:val="28"/>
          <w:highlight w:val="none"/>
        </w:rPr>
        <w:t>99.96%。</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915"/>
        <w:gridCol w:w="1185"/>
        <w:gridCol w:w="1215"/>
        <w:gridCol w:w="1697"/>
        <w:gridCol w:w="1174"/>
        <w:gridCol w:w="67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8" w:type="pct"/>
            <w:vMerge w:val="restart"/>
            <w:vAlign w:val="center"/>
          </w:tcPr>
          <w:p>
            <w:pPr>
              <w:jc w:val="center"/>
              <w:rPr>
                <w:rFonts w:ascii="仿宋" w:hAnsi="仿宋" w:eastAsia="仿宋" w:cs="仿宋"/>
                <w:sz w:val="24"/>
              </w:rPr>
            </w:pPr>
            <w:r>
              <w:rPr>
                <w:rFonts w:hint="eastAsia" w:ascii="仿宋" w:hAnsi="仿宋" w:eastAsia="仿宋" w:cs="仿宋"/>
                <w:sz w:val="24"/>
              </w:rPr>
              <w:t>年度</w:t>
            </w:r>
          </w:p>
        </w:tc>
        <w:tc>
          <w:tcPr>
            <w:tcW w:w="531" w:type="pct"/>
            <w:vMerge w:val="restart"/>
            <w:vAlign w:val="center"/>
          </w:tcPr>
          <w:p>
            <w:pPr>
              <w:jc w:val="center"/>
              <w:rPr>
                <w:rFonts w:ascii="仿宋" w:hAnsi="仿宋" w:eastAsia="仿宋" w:cs="仿宋"/>
                <w:sz w:val="24"/>
              </w:rPr>
            </w:pPr>
            <w:r>
              <w:rPr>
                <w:rFonts w:hint="eastAsia" w:ascii="仿宋" w:hAnsi="仿宋" w:eastAsia="仿宋" w:cs="仿宋"/>
                <w:sz w:val="24"/>
              </w:rPr>
              <w:t>项目明细名称</w:t>
            </w:r>
          </w:p>
        </w:tc>
        <w:tc>
          <w:tcPr>
            <w:tcW w:w="688" w:type="pct"/>
            <w:vMerge w:val="restart"/>
            <w:vAlign w:val="center"/>
          </w:tcPr>
          <w:p>
            <w:pPr>
              <w:jc w:val="left"/>
              <w:rPr>
                <w:rFonts w:ascii="仿宋" w:hAnsi="仿宋" w:eastAsia="仿宋" w:cs="仿宋"/>
                <w:sz w:val="24"/>
              </w:rPr>
            </w:pPr>
            <w:r>
              <w:rPr>
                <w:rFonts w:hint="eastAsia" w:ascii="仿宋" w:hAnsi="仿宋" w:eastAsia="仿宋" w:cs="仿宋"/>
                <w:sz w:val="24"/>
              </w:rPr>
              <w:t>支出经济分类科目</w:t>
            </w:r>
          </w:p>
        </w:tc>
        <w:tc>
          <w:tcPr>
            <w:tcW w:w="706" w:type="pct"/>
            <w:vAlign w:val="center"/>
          </w:tcPr>
          <w:p>
            <w:pPr>
              <w:jc w:val="center"/>
              <w:rPr>
                <w:rFonts w:ascii="仿宋" w:hAnsi="仿宋" w:eastAsia="仿宋" w:cs="仿宋"/>
                <w:sz w:val="24"/>
              </w:rPr>
            </w:pPr>
            <w:r>
              <w:rPr>
                <w:rFonts w:hint="eastAsia" w:ascii="仿宋" w:hAnsi="仿宋" w:eastAsia="仿宋" w:cs="仿宋"/>
                <w:sz w:val="24"/>
              </w:rPr>
              <w:t>项目构成名称</w:t>
            </w:r>
          </w:p>
        </w:tc>
        <w:tc>
          <w:tcPr>
            <w:tcW w:w="1667" w:type="pct"/>
            <w:gridSpan w:val="2"/>
            <w:vAlign w:val="center"/>
          </w:tcPr>
          <w:p>
            <w:pPr>
              <w:jc w:val="center"/>
              <w:rPr>
                <w:rFonts w:ascii="仿宋" w:hAnsi="仿宋" w:eastAsia="仿宋" w:cs="仿宋"/>
                <w:sz w:val="24"/>
              </w:rPr>
            </w:pPr>
            <w:r>
              <w:rPr>
                <w:rFonts w:hint="eastAsia" w:ascii="仿宋" w:hAnsi="仿宋" w:eastAsia="仿宋" w:cs="仿宋"/>
                <w:sz w:val="24"/>
              </w:rPr>
              <w:t>特高建设—骨干专业—智能交通服务专业群</w:t>
            </w:r>
          </w:p>
        </w:tc>
        <w:tc>
          <w:tcPr>
            <w:tcW w:w="937" w:type="pct"/>
            <w:gridSpan w:val="2"/>
            <w:vAlign w:val="center"/>
          </w:tcPr>
          <w:p>
            <w:pPr>
              <w:jc w:val="center"/>
              <w:rPr>
                <w:rFonts w:ascii="仿宋" w:hAnsi="仿宋" w:eastAsia="仿宋" w:cs="仿宋"/>
                <w:sz w:val="24"/>
              </w:rPr>
            </w:pPr>
            <w:r>
              <w:rPr>
                <w:rFonts w:hint="eastAsia" w:ascii="仿宋" w:hAnsi="仿宋" w:eastAsia="仿宋" w:cs="仿宋"/>
                <w:sz w:val="24"/>
              </w:rPr>
              <w:t>项目构成金额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68" w:type="pct"/>
            <w:vMerge w:val="continue"/>
            <w:vAlign w:val="center"/>
          </w:tcPr>
          <w:p>
            <w:pPr>
              <w:jc w:val="center"/>
              <w:rPr>
                <w:rFonts w:ascii="仿宋" w:hAnsi="仿宋" w:eastAsia="仿宋" w:cs="仿宋"/>
                <w:sz w:val="24"/>
              </w:rPr>
            </w:pPr>
          </w:p>
        </w:tc>
        <w:tc>
          <w:tcPr>
            <w:tcW w:w="531" w:type="pct"/>
            <w:vMerge w:val="continue"/>
            <w:vAlign w:val="center"/>
          </w:tcPr>
          <w:p>
            <w:pPr>
              <w:jc w:val="center"/>
              <w:rPr>
                <w:rFonts w:ascii="仿宋" w:hAnsi="仿宋" w:eastAsia="仿宋" w:cs="仿宋"/>
                <w:sz w:val="24"/>
              </w:rPr>
            </w:pPr>
          </w:p>
        </w:tc>
        <w:tc>
          <w:tcPr>
            <w:tcW w:w="688" w:type="pct"/>
            <w:vMerge w:val="continue"/>
            <w:vAlign w:val="center"/>
          </w:tcPr>
          <w:p>
            <w:pPr>
              <w:jc w:val="center"/>
              <w:rPr>
                <w:rFonts w:ascii="仿宋" w:hAnsi="仿宋" w:eastAsia="仿宋" w:cs="仿宋"/>
                <w:sz w:val="24"/>
              </w:rPr>
            </w:pPr>
          </w:p>
        </w:tc>
        <w:tc>
          <w:tcPr>
            <w:tcW w:w="706" w:type="pct"/>
            <w:vAlign w:val="center"/>
          </w:tcPr>
          <w:p>
            <w:pPr>
              <w:jc w:val="center"/>
              <w:rPr>
                <w:rFonts w:ascii="仿宋" w:hAnsi="仿宋" w:eastAsia="仿宋" w:cs="仿宋"/>
                <w:sz w:val="24"/>
              </w:rPr>
            </w:pPr>
            <w:r>
              <w:rPr>
                <w:rFonts w:hint="eastAsia" w:ascii="仿宋" w:hAnsi="仿宋" w:eastAsia="仿宋" w:cs="仿宋"/>
                <w:sz w:val="24"/>
              </w:rPr>
              <w:t>是否涉及政府采购</w:t>
            </w:r>
          </w:p>
        </w:tc>
        <w:tc>
          <w:tcPr>
            <w:tcW w:w="985" w:type="pct"/>
            <w:vAlign w:val="center"/>
          </w:tcPr>
          <w:p>
            <w:pPr>
              <w:jc w:val="center"/>
              <w:rPr>
                <w:rFonts w:ascii="仿宋" w:hAnsi="仿宋" w:eastAsia="仿宋" w:cs="仿宋"/>
                <w:sz w:val="24"/>
              </w:rPr>
            </w:pPr>
            <w:r>
              <w:rPr>
                <w:rFonts w:hint="eastAsia" w:ascii="仿宋" w:hAnsi="仿宋" w:eastAsia="仿宋" w:cs="仿宋"/>
                <w:sz w:val="24"/>
              </w:rPr>
              <w:t>采购目录名称</w:t>
            </w:r>
          </w:p>
        </w:tc>
        <w:tc>
          <w:tcPr>
            <w:tcW w:w="682" w:type="pct"/>
            <w:vAlign w:val="center"/>
          </w:tcPr>
          <w:p>
            <w:pPr>
              <w:jc w:val="center"/>
              <w:rPr>
                <w:rFonts w:ascii="仿宋" w:hAnsi="仿宋" w:eastAsia="仿宋" w:cs="仿宋"/>
                <w:sz w:val="24"/>
              </w:rPr>
            </w:pPr>
            <w:r>
              <w:rPr>
                <w:rFonts w:hint="eastAsia" w:ascii="仿宋" w:hAnsi="仿宋" w:eastAsia="仿宋" w:cs="仿宋"/>
                <w:sz w:val="24"/>
              </w:rPr>
              <w:t>参考型号</w:t>
            </w:r>
          </w:p>
        </w:tc>
        <w:tc>
          <w:tcPr>
            <w:tcW w:w="389" w:type="pct"/>
            <w:vAlign w:val="center"/>
          </w:tcPr>
          <w:p>
            <w:pPr>
              <w:jc w:val="center"/>
              <w:rPr>
                <w:rFonts w:ascii="仿宋" w:hAnsi="仿宋" w:eastAsia="仿宋" w:cs="仿宋"/>
                <w:sz w:val="24"/>
              </w:rPr>
            </w:pPr>
            <w:r>
              <w:rPr>
                <w:rFonts w:hint="eastAsia" w:ascii="仿宋" w:hAnsi="仿宋" w:eastAsia="仿宋" w:cs="仿宋"/>
                <w:sz w:val="24"/>
              </w:rPr>
              <w:t>采购</w:t>
            </w:r>
          </w:p>
          <w:p>
            <w:pPr>
              <w:jc w:val="center"/>
              <w:rPr>
                <w:rFonts w:ascii="仿宋" w:hAnsi="仿宋" w:eastAsia="仿宋" w:cs="仿宋"/>
                <w:sz w:val="24"/>
              </w:rPr>
            </w:pPr>
            <w:r>
              <w:rPr>
                <w:rFonts w:hint="eastAsia" w:ascii="仿宋" w:hAnsi="仿宋" w:eastAsia="仿宋" w:cs="仿宋"/>
                <w:sz w:val="24"/>
              </w:rPr>
              <w:t>数量</w:t>
            </w:r>
          </w:p>
        </w:tc>
        <w:tc>
          <w:tcPr>
            <w:tcW w:w="548" w:type="pct"/>
            <w:vAlign w:val="center"/>
          </w:tcPr>
          <w:p>
            <w:pPr>
              <w:jc w:val="center"/>
              <w:rPr>
                <w:rFonts w:ascii="仿宋" w:hAnsi="仿宋" w:eastAsia="仿宋" w:cs="仿宋"/>
                <w:sz w:val="24"/>
              </w:rPr>
            </w:pPr>
            <w:r>
              <w:rPr>
                <w:rFonts w:hint="eastAsia" w:ascii="仿宋" w:hAnsi="仿宋" w:eastAsia="仿宋" w:cs="仿宋"/>
                <w:sz w:val="24"/>
              </w:rPr>
              <w:t>预算申请数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jc w:val="center"/>
              <w:rPr>
                <w:rFonts w:ascii="仿宋" w:hAnsi="仿宋" w:eastAsia="仿宋" w:cs="仿宋"/>
                <w:sz w:val="24"/>
              </w:rPr>
            </w:pPr>
            <w:r>
              <w:rPr>
                <w:rFonts w:hint="eastAsia" w:ascii="仿宋" w:hAnsi="仿宋" w:eastAsia="仿宋" w:cs="仿宋"/>
                <w:sz w:val="24"/>
              </w:rPr>
              <w:t>2023</w:t>
            </w:r>
          </w:p>
        </w:tc>
        <w:tc>
          <w:tcPr>
            <w:tcW w:w="531" w:type="pct"/>
            <w:vAlign w:val="center"/>
          </w:tcPr>
          <w:p>
            <w:pPr>
              <w:jc w:val="center"/>
              <w:rPr>
                <w:rFonts w:ascii="仿宋" w:hAnsi="仿宋" w:eastAsia="仿宋" w:cs="仿宋"/>
                <w:sz w:val="24"/>
              </w:rPr>
            </w:pPr>
            <w:r>
              <w:rPr>
                <w:rFonts w:hint="eastAsia" w:ascii="仿宋" w:hAnsi="仿宋" w:eastAsia="仿宋" w:cs="仿宋"/>
                <w:sz w:val="24"/>
              </w:rPr>
              <w:t>智能网联实训基地教学设备</w:t>
            </w:r>
          </w:p>
        </w:tc>
        <w:tc>
          <w:tcPr>
            <w:tcW w:w="688" w:type="pct"/>
            <w:vAlign w:val="center"/>
          </w:tcPr>
          <w:p>
            <w:pPr>
              <w:jc w:val="center"/>
              <w:rPr>
                <w:rFonts w:ascii="仿宋" w:hAnsi="仿宋" w:eastAsia="仿宋" w:cs="仿宋"/>
                <w:sz w:val="24"/>
              </w:rPr>
            </w:pPr>
            <w:r>
              <w:rPr>
                <w:rFonts w:hint="eastAsia" w:ascii="仿宋" w:hAnsi="仿宋" w:eastAsia="仿宋" w:cs="仿宋"/>
                <w:sz w:val="24"/>
              </w:rPr>
              <w:t>资本性支出-专用设备购置</w:t>
            </w:r>
          </w:p>
        </w:tc>
        <w:tc>
          <w:tcPr>
            <w:tcW w:w="706" w:type="pct"/>
            <w:vAlign w:val="center"/>
          </w:tcPr>
          <w:p>
            <w:pPr>
              <w:jc w:val="center"/>
              <w:rPr>
                <w:rFonts w:ascii="仿宋" w:hAnsi="仿宋" w:eastAsia="仿宋" w:cs="仿宋"/>
                <w:sz w:val="24"/>
              </w:rPr>
            </w:pPr>
            <w:r>
              <w:rPr>
                <w:rFonts w:hint="eastAsia" w:ascii="仿宋" w:hAnsi="仿宋" w:eastAsia="仿宋" w:cs="仿宋"/>
                <w:sz w:val="24"/>
              </w:rPr>
              <w:t>是</w:t>
            </w:r>
          </w:p>
        </w:tc>
        <w:tc>
          <w:tcPr>
            <w:tcW w:w="985" w:type="pct"/>
            <w:vAlign w:val="center"/>
          </w:tcPr>
          <w:p>
            <w:pPr>
              <w:jc w:val="center"/>
              <w:rPr>
                <w:rFonts w:ascii="仿宋" w:hAnsi="仿宋" w:eastAsia="仿宋" w:cs="仿宋"/>
                <w:sz w:val="24"/>
              </w:rPr>
            </w:pPr>
            <w:r>
              <w:rPr>
                <w:rFonts w:hint="eastAsia" w:ascii="仿宋" w:hAnsi="仿宋" w:eastAsia="仿宋" w:cs="仿宋"/>
                <w:sz w:val="24"/>
              </w:rPr>
              <w:t>A033412</w:t>
            </w:r>
          </w:p>
          <w:p>
            <w:pPr>
              <w:jc w:val="center"/>
              <w:rPr>
                <w:rFonts w:ascii="仿宋" w:hAnsi="仿宋" w:eastAsia="仿宋" w:cs="仿宋"/>
                <w:sz w:val="24"/>
              </w:rPr>
            </w:pPr>
            <w:r>
              <w:rPr>
                <w:rFonts w:hint="eastAsia" w:ascii="仿宋" w:hAnsi="仿宋" w:eastAsia="仿宋" w:cs="仿宋"/>
                <w:sz w:val="24"/>
              </w:rPr>
              <w:t>教学专用仪器</w:t>
            </w:r>
          </w:p>
        </w:tc>
        <w:tc>
          <w:tcPr>
            <w:tcW w:w="682" w:type="pct"/>
            <w:vAlign w:val="center"/>
          </w:tcPr>
          <w:p>
            <w:pPr>
              <w:jc w:val="center"/>
              <w:rPr>
                <w:rFonts w:ascii="仿宋" w:hAnsi="仿宋" w:eastAsia="仿宋" w:cs="仿宋"/>
                <w:sz w:val="24"/>
              </w:rPr>
            </w:pPr>
          </w:p>
        </w:tc>
        <w:tc>
          <w:tcPr>
            <w:tcW w:w="389" w:type="pct"/>
            <w:vAlign w:val="center"/>
          </w:tcPr>
          <w:p>
            <w:pPr>
              <w:jc w:val="center"/>
              <w:rPr>
                <w:rFonts w:ascii="仿宋" w:hAnsi="仿宋" w:eastAsia="仿宋" w:cs="仿宋"/>
                <w:sz w:val="24"/>
              </w:rPr>
            </w:pPr>
            <w:r>
              <w:rPr>
                <w:rFonts w:hint="eastAsia" w:ascii="宋体" w:hAnsi="宋体"/>
                <w:sz w:val="24"/>
              </w:rPr>
              <w:t>1批</w:t>
            </w:r>
          </w:p>
        </w:tc>
        <w:tc>
          <w:tcPr>
            <w:tcW w:w="548" w:type="pct"/>
            <w:vAlign w:val="center"/>
          </w:tcPr>
          <w:p>
            <w:pPr>
              <w:jc w:val="center"/>
              <w:rPr>
                <w:rFonts w:ascii="仿宋" w:hAnsi="仿宋" w:eastAsia="仿宋" w:cs="仿宋"/>
                <w:sz w:val="24"/>
              </w:rPr>
            </w:pPr>
            <w:r>
              <w:rPr>
                <w:rFonts w:hint="eastAsia" w:ascii="仿宋" w:hAnsi="仿宋" w:eastAsia="仿宋" w:cs="仿宋"/>
                <w:sz w:val="24"/>
              </w:rPr>
              <w:t>401.030000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468" w:type="pct"/>
            <w:vAlign w:val="center"/>
          </w:tcPr>
          <w:p>
            <w:pPr>
              <w:jc w:val="center"/>
              <w:rPr>
                <w:rFonts w:ascii="仿宋" w:hAnsi="仿宋" w:eastAsia="仿宋" w:cs="仿宋"/>
                <w:sz w:val="24"/>
              </w:rPr>
            </w:pPr>
            <w:r>
              <w:rPr>
                <w:rFonts w:hint="eastAsia" w:ascii="仿宋" w:hAnsi="仿宋" w:eastAsia="仿宋" w:cs="仿宋"/>
                <w:sz w:val="24"/>
              </w:rPr>
              <w:t>2023</w:t>
            </w:r>
          </w:p>
        </w:tc>
        <w:tc>
          <w:tcPr>
            <w:tcW w:w="531" w:type="pct"/>
            <w:vAlign w:val="center"/>
          </w:tcPr>
          <w:p>
            <w:pPr>
              <w:jc w:val="center"/>
              <w:rPr>
                <w:rFonts w:ascii="仿宋" w:hAnsi="仿宋" w:eastAsia="仿宋" w:cs="仿宋"/>
                <w:sz w:val="24"/>
              </w:rPr>
            </w:pPr>
            <w:r>
              <w:rPr>
                <w:rFonts w:hint="eastAsia" w:ascii="仿宋" w:hAnsi="仿宋" w:eastAsia="仿宋" w:cs="仿宋"/>
                <w:sz w:val="24"/>
              </w:rPr>
              <w:t>实验室环境改造费</w:t>
            </w:r>
          </w:p>
        </w:tc>
        <w:tc>
          <w:tcPr>
            <w:tcW w:w="688" w:type="pct"/>
            <w:vAlign w:val="center"/>
          </w:tcPr>
          <w:p>
            <w:pPr>
              <w:jc w:val="center"/>
              <w:rPr>
                <w:rFonts w:ascii="仿宋" w:hAnsi="仿宋" w:eastAsia="仿宋" w:cs="仿宋"/>
                <w:sz w:val="24"/>
              </w:rPr>
            </w:pPr>
            <w:r>
              <w:rPr>
                <w:rFonts w:hint="eastAsia" w:ascii="仿宋" w:hAnsi="仿宋" w:eastAsia="仿宋" w:cs="仿宋"/>
                <w:sz w:val="24"/>
              </w:rPr>
              <w:t>商品和服务支出-维修(护)费</w:t>
            </w:r>
          </w:p>
        </w:tc>
        <w:tc>
          <w:tcPr>
            <w:tcW w:w="706" w:type="pct"/>
            <w:vAlign w:val="center"/>
          </w:tcPr>
          <w:p>
            <w:pPr>
              <w:jc w:val="center"/>
              <w:rPr>
                <w:rFonts w:ascii="仿宋" w:hAnsi="仿宋" w:eastAsia="仿宋" w:cs="仿宋"/>
                <w:sz w:val="24"/>
              </w:rPr>
            </w:pPr>
            <w:r>
              <w:rPr>
                <w:rFonts w:hint="eastAsia" w:ascii="仿宋" w:hAnsi="仿宋" w:eastAsia="仿宋" w:cs="仿宋"/>
                <w:sz w:val="24"/>
              </w:rPr>
              <w:t>否</w:t>
            </w:r>
          </w:p>
        </w:tc>
        <w:tc>
          <w:tcPr>
            <w:tcW w:w="985" w:type="pct"/>
            <w:vAlign w:val="center"/>
          </w:tcPr>
          <w:p>
            <w:pPr>
              <w:jc w:val="center"/>
              <w:rPr>
                <w:rFonts w:ascii="仿宋" w:hAnsi="仿宋" w:eastAsia="仿宋" w:cs="仿宋"/>
                <w:sz w:val="24"/>
              </w:rPr>
            </w:pPr>
            <w:r>
              <w:rPr>
                <w:rFonts w:hint="eastAsia" w:ascii="仿宋" w:hAnsi="仿宋" w:eastAsia="仿宋" w:cs="仿宋"/>
                <w:sz w:val="24"/>
              </w:rPr>
              <w:t>B07</w:t>
            </w:r>
          </w:p>
          <w:p>
            <w:pPr>
              <w:jc w:val="center"/>
              <w:rPr>
                <w:rFonts w:ascii="仿宋" w:hAnsi="仿宋" w:eastAsia="仿宋" w:cs="仿宋"/>
                <w:sz w:val="24"/>
              </w:rPr>
            </w:pPr>
            <w:r>
              <w:rPr>
                <w:rFonts w:hint="eastAsia" w:ascii="仿宋" w:hAnsi="仿宋" w:eastAsia="仿宋" w:cs="仿宋"/>
                <w:sz w:val="24"/>
              </w:rPr>
              <w:t>装修工程</w:t>
            </w:r>
          </w:p>
        </w:tc>
        <w:tc>
          <w:tcPr>
            <w:tcW w:w="682" w:type="pct"/>
            <w:vAlign w:val="center"/>
          </w:tcPr>
          <w:p>
            <w:pPr>
              <w:jc w:val="center"/>
              <w:rPr>
                <w:rFonts w:ascii="仿宋" w:hAnsi="仿宋" w:eastAsia="仿宋" w:cs="仿宋"/>
                <w:sz w:val="24"/>
              </w:rPr>
            </w:pPr>
          </w:p>
        </w:tc>
        <w:tc>
          <w:tcPr>
            <w:tcW w:w="389" w:type="pct"/>
            <w:vAlign w:val="center"/>
          </w:tcPr>
          <w:p>
            <w:pPr>
              <w:jc w:val="center"/>
              <w:rPr>
                <w:rFonts w:ascii="仿宋" w:hAnsi="仿宋" w:eastAsia="仿宋" w:cs="仿宋"/>
                <w:sz w:val="24"/>
              </w:rPr>
            </w:pPr>
            <w:r>
              <w:rPr>
                <w:rFonts w:hint="eastAsia" w:ascii="仿宋" w:hAnsi="仿宋" w:eastAsia="仿宋" w:cs="仿宋"/>
                <w:sz w:val="24"/>
              </w:rPr>
              <w:t>1项</w:t>
            </w:r>
          </w:p>
        </w:tc>
        <w:tc>
          <w:tcPr>
            <w:tcW w:w="548" w:type="pct"/>
            <w:vAlign w:val="center"/>
          </w:tcPr>
          <w:p>
            <w:pPr>
              <w:jc w:val="center"/>
              <w:rPr>
                <w:rFonts w:ascii="仿宋" w:hAnsi="仿宋" w:eastAsia="仿宋" w:cs="仿宋"/>
                <w:sz w:val="24"/>
              </w:rPr>
            </w:pPr>
            <w:r>
              <w:rPr>
                <w:rFonts w:hint="eastAsia" w:ascii="仿宋" w:hAnsi="仿宋" w:eastAsia="仿宋" w:cs="仿宋"/>
                <w:sz w:val="24"/>
              </w:rPr>
              <w:t>32.443586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468" w:type="pct"/>
            <w:vAlign w:val="center"/>
          </w:tcPr>
          <w:p>
            <w:pPr>
              <w:jc w:val="center"/>
              <w:rPr>
                <w:rFonts w:ascii="仿宋" w:hAnsi="仿宋" w:eastAsia="仿宋" w:cs="仿宋"/>
                <w:sz w:val="24"/>
              </w:rPr>
            </w:pPr>
            <w:r>
              <w:rPr>
                <w:rFonts w:hint="eastAsia" w:ascii="仿宋" w:hAnsi="仿宋" w:eastAsia="仿宋" w:cs="仿宋"/>
                <w:sz w:val="24"/>
              </w:rPr>
              <w:t>2023</w:t>
            </w:r>
          </w:p>
        </w:tc>
        <w:tc>
          <w:tcPr>
            <w:tcW w:w="531"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监理费</w:t>
            </w:r>
          </w:p>
          <w:p>
            <w:pPr>
              <w:jc w:val="center"/>
              <w:rPr>
                <w:rFonts w:ascii="仿宋" w:hAnsi="仿宋" w:eastAsia="仿宋" w:cs="仿宋"/>
                <w:color w:val="000000" w:themeColor="text1"/>
                <w:sz w:val="24"/>
                <w14:textFill>
                  <w14:solidFill>
                    <w14:schemeClr w14:val="tx1"/>
                  </w14:solidFill>
                </w14:textFill>
              </w:rPr>
            </w:pPr>
          </w:p>
        </w:tc>
        <w:tc>
          <w:tcPr>
            <w:tcW w:w="688"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商品和服务支出-维修(护)费</w:t>
            </w:r>
          </w:p>
        </w:tc>
        <w:tc>
          <w:tcPr>
            <w:tcW w:w="706"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否</w:t>
            </w:r>
          </w:p>
        </w:tc>
        <w:tc>
          <w:tcPr>
            <w:tcW w:w="985"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C1006</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工程监理服务</w:t>
            </w:r>
          </w:p>
          <w:p>
            <w:pPr>
              <w:rPr>
                <w:rFonts w:hint="eastAsia" w:ascii="仿宋" w:hAnsi="仿宋" w:eastAsia="仿宋" w:cs="仿宋"/>
                <w:color w:val="000000" w:themeColor="text1"/>
                <w:sz w:val="24"/>
                <w14:textFill>
                  <w14:solidFill>
                    <w14:schemeClr w14:val="tx1"/>
                  </w14:solidFill>
                </w14:textFill>
              </w:rPr>
            </w:pPr>
          </w:p>
        </w:tc>
        <w:tc>
          <w:tcPr>
            <w:tcW w:w="682" w:type="pct"/>
            <w:vAlign w:val="center"/>
          </w:tcPr>
          <w:p>
            <w:pPr>
              <w:jc w:val="center"/>
              <w:rPr>
                <w:rFonts w:ascii="仿宋" w:hAnsi="仿宋" w:eastAsia="仿宋" w:cs="仿宋"/>
                <w:sz w:val="24"/>
              </w:rPr>
            </w:pPr>
          </w:p>
        </w:tc>
        <w:tc>
          <w:tcPr>
            <w:tcW w:w="389" w:type="pct"/>
            <w:vAlign w:val="center"/>
          </w:tcPr>
          <w:p>
            <w:pPr>
              <w:jc w:val="center"/>
              <w:rPr>
                <w:rFonts w:ascii="仿宋" w:hAnsi="仿宋" w:eastAsia="仿宋" w:cs="仿宋"/>
                <w:sz w:val="24"/>
              </w:rPr>
            </w:pPr>
            <w:r>
              <w:rPr>
                <w:rFonts w:hint="eastAsia" w:ascii="仿宋" w:hAnsi="仿宋" w:eastAsia="仿宋" w:cs="仿宋"/>
                <w:sz w:val="24"/>
              </w:rPr>
              <w:t>1项</w:t>
            </w:r>
          </w:p>
        </w:tc>
        <w:tc>
          <w:tcPr>
            <w:tcW w:w="548" w:type="pct"/>
            <w:vAlign w:val="center"/>
          </w:tcPr>
          <w:p>
            <w:pPr>
              <w:jc w:val="center"/>
              <w:rPr>
                <w:rFonts w:ascii="仿宋" w:hAnsi="仿宋" w:eastAsia="仿宋" w:cs="仿宋"/>
                <w:sz w:val="24"/>
              </w:rPr>
            </w:pPr>
            <w:r>
              <w:rPr>
                <w:rFonts w:hint="eastAsia" w:ascii="仿宋" w:hAnsi="仿宋" w:eastAsia="仿宋" w:cs="仿宋"/>
                <w:sz w:val="24"/>
              </w:rPr>
              <w:t>0.712600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468" w:type="pct"/>
            <w:vAlign w:val="center"/>
          </w:tcPr>
          <w:p>
            <w:pPr>
              <w:jc w:val="center"/>
              <w:rPr>
                <w:rFonts w:ascii="仿宋" w:hAnsi="仿宋" w:eastAsia="仿宋" w:cs="仿宋"/>
                <w:sz w:val="24"/>
              </w:rPr>
            </w:pPr>
            <w:r>
              <w:rPr>
                <w:rFonts w:hint="eastAsia" w:ascii="仿宋" w:hAnsi="仿宋" w:eastAsia="仿宋" w:cs="仿宋"/>
                <w:sz w:val="24"/>
              </w:rPr>
              <w:t>2023</w:t>
            </w:r>
          </w:p>
        </w:tc>
        <w:tc>
          <w:tcPr>
            <w:tcW w:w="531"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设计费</w:t>
            </w:r>
          </w:p>
        </w:tc>
        <w:tc>
          <w:tcPr>
            <w:tcW w:w="688"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商品和服务支出-维修(护)费</w:t>
            </w:r>
          </w:p>
        </w:tc>
        <w:tc>
          <w:tcPr>
            <w:tcW w:w="706"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否</w:t>
            </w:r>
          </w:p>
        </w:tc>
        <w:tc>
          <w:tcPr>
            <w:tcW w:w="985" w:type="pct"/>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C1004</w:t>
            </w:r>
          </w:p>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装修设计服务</w:t>
            </w:r>
          </w:p>
        </w:tc>
        <w:tc>
          <w:tcPr>
            <w:tcW w:w="682" w:type="pct"/>
            <w:vAlign w:val="center"/>
          </w:tcPr>
          <w:p>
            <w:pPr>
              <w:jc w:val="center"/>
              <w:rPr>
                <w:rFonts w:ascii="仿宋" w:hAnsi="仿宋" w:eastAsia="仿宋" w:cs="仿宋"/>
                <w:sz w:val="24"/>
              </w:rPr>
            </w:pPr>
          </w:p>
        </w:tc>
        <w:tc>
          <w:tcPr>
            <w:tcW w:w="389" w:type="pct"/>
            <w:vAlign w:val="center"/>
          </w:tcPr>
          <w:p>
            <w:pPr>
              <w:jc w:val="center"/>
              <w:rPr>
                <w:rFonts w:ascii="仿宋" w:hAnsi="仿宋" w:eastAsia="仿宋" w:cs="仿宋"/>
                <w:sz w:val="24"/>
              </w:rPr>
            </w:pPr>
            <w:r>
              <w:rPr>
                <w:rFonts w:hint="eastAsia" w:ascii="仿宋" w:hAnsi="仿宋" w:eastAsia="仿宋" w:cs="仿宋"/>
                <w:sz w:val="24"/>
              </w:rPr>
              <w:t>1项</w:t>
            </w:r>
          </w:p>
        </w:tc>
        <w:tc>
          <w:tcPr>
            <w:tcW w:w="548" w:type="pct"/>
            <w:vAlign w:val="center"/>
          </w:tcPr>
          <w:p>
            <w:pPr>
              <w:jc w:val="center"/>
              <w:rPr>
                <w:rFonts w:ascii="仿宋" w:hAnsi="仿宋" w:eastAsia="仿宋" w:cs="仿宋"/>
                <w:sz w:val="24"/>
              </w:rPr>
            </w:pPr>
            <w:r>
              <w:rPr>
                <w:rFonts w:hint="eastAsia" w:ascii="仿宋" w:hAnsi="仿宋" w:eastAsia="仿宋" w:cs="仿宋"/>
                <w:sz w:val="24"/>
              </w:rPr>
              <w:t>1.140200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468" w:type="pct"/>
            <w:vAlign w:val="center"/>
          </w:tcPr>
          <w:p>
            <w:pPr>
              <w:jc w:val="center"/>
              <w:rPr>
                <w:rFonts w:ascii="仿宋" w:hAnsi="仿宋" w:eastAsia="仿宋" w:cs="仿宋"/>
                <w:sz w:val="24"/>
              </w:rPr>
            </w:pPr>
            <w:r>
              <w:rPr>
                <w:rFonts w:hint="eastAsia" w:ascii="仿宋" w:hAnsi="仿宋" w:eastAsia="仿宋" w:cs="仿宋"/>
                <w:sz w:val="24"/>
              </w:rPr>
              <w:t>2023</w:t>
            </w:r>
          </w:p>
        </w:tc>
        <w:tc>
          <w:tcPr>
            <w:tcW w:w="531" w:type="pct"/>
            <w:vAlign w:val="center"/>
          </w:tcPr>
          <w:p>
            <w:pPr>
              <w:jc w:val="center"/>
              <w:rPr>
                <w:rFonts w:ascii="仿宋" w:hAnsi="仿宋" w:eastAsia="仿宋" w:cs="仿宋"/>
                <w:sz w:val="24"/>
              </w:rPr>
            </w:pPr>
            <w:r>
              <w:rPr>
                <w:rFonts w:hint="eastAsia" w:ascii="仿宋" w:hAnsi="仿宋" w:eastAsia="仿宋" w:cs="仿宋"/>
                <w:sz w:val="24"/>
              </w:rPr>
              <w:t>平台运维费用</w:t>
            </w:r>
          </w:p>
        </w:tc>
        <w:tc>
          <w:tcPr>
            <w:tcW w:w="688" w:type="pct"/>
            <w:vAlign w:val="center"/>
          </w:tcPr>
          <w:p>
            <w:pPr>
              <w:jc w:val="center"/>
              <w:rPr>
                <w:rFonts w:ascii="仿宋" w:hAnsi="仿宋" w:eastAsia="仿宋" w:cs="仿宋"/>
                <w:sz w:val="24"/>
              </w:rPr>
            </w:pPr>
            <w:r>
              <w:rPr>
                <w:rFonts w:hint="eastAsia" w:ascii="仿宋" w:hAnsi="仿宋" w:eastAsia="仿宋" w:cs="仿宋"/>
                <w:sz w:val="24"/>
              </w:rPr>
              <w:t>商品和服务支出-维修(护)费</w:t>
            </w:r>
          </w:p>
        </w:tc>
        <w:tc>
          <w:tcPr>
            <w:tcW w:w="706" w:type="pct"/>
            <w:vAlign w:val="center"/>
          </w:tcPr>
          <w:p>
            <w:pPr>
              <w:jc w:val="center"/>
              <w:rPr>
                <w:rFonts w:ascii="仿宋" w:hAnsi="仿宋" w:eastAsia="仿宋" w:cs="仿宋"/>
                <w:sz w:val="24"/>
              </w:rPr>
            </w:pPr>
            <w:r>
              <w:rPr>
                <w:rFonts w:hint="eastAsia" w:ascii="仿宋" w:hAnsi="仿宋" w:eastAsia="仿宋" w:cs="仿宋"/>
                <w:sz w:val="24"/>
              </w:rPr>
              <w:t>否</w:t>
            </w:r>
          </w:p>
        </w:tc>
        <w:tc>
          <w:tcPr>
            <w:tcW w:w="985" w:type="pct"/>
            <w:vAlign w:val="center"/>
          </w:tcPr>
          <w:p>
            <w:pPr>
              <w:jc w:val="center"/>
              <w:rPr>
                <w:rFonts w:ascii="仿宋" w:hAnsi="仿宋" w:eastAsia="仿宋" w:cs="仿宋"/>
                <w:sz w:val="24"/>
              </w:rPr>
            </w:pPr>
          </w:p>
        </w:tc>
        <w:tc>
          <w:tcPr>
            <w:tcW w:w="682" w:type="pct"/>
            <w:vAlign w:val="center"/>
          </w:tcPr>
          <w:p>
            <w:pPr>
              <w:jc w:val="center"/>
              <w:rPr>
                <w:rFonts w:ascii="仿宋" w:hAnsi="仿宋" w:eastAsia="仿宋" w:cs="仿宋"/>
                <w:sz w:val="24"/>
              </w:rPr>
            </w:pPr>
          </w:p>
        </w:tc>
        <w:tc>
          <w:tcPr>
            <w:tcW w:w="389" w:type="pct"/>
            <w:vAlign w:val="center"/>
          </w:tcPr>
          <w:p>
            <w:pPr>
              <w:jc w:val="center"/>
              <w:rPr>
                <w:rFonts w:ascii="仿宋" w:hAnsi="仿宋" w:eastAsia="仿宋" w:cs="仿宋"/>
                <w:sz w:val="24"/>
              </w:rPr>
            </w:pPr>
            <w:r>
              <w:rPr>
                <w:rFonts w:hint="eastAsia" w:ascii="仿宋" w:hAnsi="仿宋" w:eastAsia="仿宋" w:cs="仿宋"/>
                <w:sz w:val="24"/>
              </w:rPr>
              <w:t>1项</w:t>
            </w:r>
          </w:p>
        </w:tc>
        <w:tc>
          <w:tcPr>
            <w:tcW w:w="548" w:type="pct"/>
            <w:vAlign w:val="center"/>
          </w:tcPr>
          <w:p>
            <w:pPr>
              <w:jc w:val="center"/>
              <w:rPr>
                <w:rFonts w:ascii="仿宋" w:hAnsi="仿宋" w:eastAsia="仿宋" w:cs="仿宋"/>
                <w:sz w:val="24"/>
              </w:rPr>
            </w:pPr>
            <w:r>
              <w:rPr>
                <w:rFonts w:hint="eastAsia" w:ascii="仿宋" w:hAnsi="仿宋" w:eastAsia="仿宋" w:cs="仿宋"/>
                <w:sz w:val="24"/>
              </w:rPr>
              <w:t>43.540560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468" w:type="pct"/>
            <w:vAlign w:val="center"/>
          </w:tcPr>
          <w:p>
            <w:pPr>
              <w:jc w:val="center"/>
              <w:rPr>
                <w:rFonts w:ascii="仿宋" w:hAnsi="仿宋" w:eastAsia="仿宋" w:cs="仿宋"/>
                <w:sz w:val="24"/>
              </w:rPr>
            </w:pPr>
            <w:r>
              <w:rPr>
                <w:rFonts w:hint="eastAsia" w:ascii="仿宋" w:hAnsi="仿宋" w:eastAsia="仿宋" w:cs="仿宋"/>
                <w:sz w:val="24"/>
              </w:rPr>
              <w:t>2023</w:t>
            </w:r>
          </w:p>
        </w:tc>
        <w:tc>
          <w:tcPr>
            <w:tcW w:w="531" w:type="pct"/>
            <w:vAlign w:val="center"/>
          </w:tcPr>
          <w:p>
            <w:pPr>
              <w:jc w:val="center"/>
              <w:rPr>
                <w:rFonts w:ascii="仿宋" w:hAnsi="仿宋" w:eastAsia="仿宋" w:cs="仿宋"/>
                <w:sz w:val="24"/>
              </w:rPr>
            </w:pPr>
            <w:r>
              <w:rPr>
                <w:rFonts w:hint="eastAsia" w:ascii="仿宋" w:hAnsi="仿宋" w:eastAsia="仿宋" w:cs="仿宋"/>
                <w:sz w:val="24"/>
              </w:rPr>
              <w:t>汽车营销升级教学设备</w:t>
            </w:r>
          </w:p>
        </w:tc>
        <w:tc>
          <w:tcPr>
            <w:tcW w:w="688" w:type="pct"/>
            <w:vAlign w:val="center"/>
          </w:tcPr>
          <w:p>
            <w:pPr>
              <w:jc w:val="center"/>
              <w:rPr>
                <w:rFonts w:ascii="仿宋" w:hAnsi="仿宋" w:eastAsia="仿宋" w:cs="仿宋"/>
                <w:sz w:val="24"/>
              </w:rPr>
            </w:pPr>
            <w:r>
              <w:rPr>
                <w:rFonts w:hint="eastAsia" w:ascii="仿宋" w:hAnsi="仿宋" w:eastAsia="仿宋" w:cs="仿宋"/>
                <w:sz w:val="24"/>
              </w:rPr>
              <w:t>资本性支出-专用设备购置</w:t>
            </w:r>
          </w:p>
        </w:tc>
        <w:tc>
          <w:tcPr>
            <w:tcW w:w="706" w:type="pct"/>
            <w:vAlign w:val="center"/>
          </w:tcPr>
          <w:p>
            <w:pPr>
              <w:jc w:val="center"/>
              <w:rPr>
                <w:rFonts w:ascii="仿宋" w:hAnsi="仿宋" w:eastAsia="仿宋" w:cs="仿宋"/>
                <w:sz w:val="24"/>
              </w:rPr>
            </w:pPr>
            <w:r>
              <w:rPr>
                <w:rFonts w:hint="eastAsia" w:ascii="仿宋" w:hAnsi="仿宋" w:eastAsia="仿宋" w:cs="仿宋"/>
                <w:sz w:val="24"/>
              </w:rPr>
              <w:t>否</w:t>
            </w:r>
          </w:p>
        </w:tc>
        <w:tc>
          <w:tcPr>
            <w:tcW w:w="985" w:type="pct"/>
            <w:vAlign w:val="center"/>
          </w:tcPr>
          <w:p>
            <w:pPr>
              <w:jc w:val="center"/>
              <w:rPr>
                <w:rFonts w:ascii="仿宋" w:hAnsi="仿宋" w:eastAsia="仿宋" w:cs="仿宋"/>
                <w:sz w:val="24"/>
              </w:rPr>
            </w:pPr>
            <w:r>
              <w:rPr>
                <w:rFonts w:hint="eastAsia" w:ascii="仿宋" w:hAnsi="仿宋" w:eastAsia="仿宋" w:cs="仿宋"/>
                <w:sz w:val="24"/>
              </w:rPr>
              <w:t>A033412</w:t>
            </w:r>
          </w:p>
          <w:p>
            <w:pPr>
              <w:jc w:val="center"/>
              <w:rPr>
                <w:rFonts w:ascii="仿宋" w:hAnsi="仿宋" w:eastAsia="仿宋" w:cs="仿宋"/>
                <w:sz w:val="24"/>
              </w:rPr>
            </w:pPr>
            <w:r>
              <w:rPr>
                <w:rFonts w:hint="eastAsia" w:ascii="仿宋" w:hAnsi="仿宋" w:eastAsia="仿宋" w:cs="仿宋"/>
                <w:sz w:val="24"/>
              </w:rPr>
              <w:t>教学专用仪器 </w:t>
            </w:r>
          </w:p>
        </w:tc>
        <w:tc>
          <w:tcPr>
            <w:tcW w:w="682" w:type="pct"/>
            <w:vAlign w:val="center"/>
          </w:tcPr>
          <w:p>
            <w:pPr>
              <w:jc w:val="center"/>
              <w:rPr>
                <w:rFonts w:ascii="仿宋" w:hAnsi="仿宋" w:eastAsia="仿宋" w:cs="仿宋"/>
                <w:sz w:val="24"/>
              </w:rPr>
            </w:pPr>
          </w:p>
        </w:tc>
        <w:tc>
          <w:tcPr>
            <w:tcW w:w="389" w:type="pct"/>
            <w:vAlign w:val="center"/>
          </w:tcPr>
          <w:p>
            <w:pPr>
              <w:jc w:val="center"/>
              <w:rPr>
                <w:rFonts w:ascii="仿宋" w:hAnsi="仿宋" w:eastAsia="仿宋" w:cs="仿宋"/>
                <w:sz w:val="24"/>
              </w:rPr>
            </w:pPr>
            <w:r>
              <w:rPr>
                <w:rFonts w:hint="eastAsia" w:ascii="仿宋" w:hAnsi="仿宋" w:eastAsia="仿宋" w:cs="仿宋"/>
                <w:sz w:val="24"/>
              </w:rPr>
              <w:t>1批</w:t>
            </w:r>
          </w:p>
        </w:tc>
        <w:tc>
          <w:tcPr>
            <w:tcW w:w="548" w:type="pct"/>
            <w:vAlign w:val="center"/>
          </w:tcPr>
          <w:p>
            <w:pPr>
              <w:jc w:val="center"/>
              <w:rPr>
                <w:rFonts w:ascii="仿宋" w:hAnsi="仿宋" w:eastAsia="仿宋" w:cs="仿宋"/>
                <w:sz w:val="24"/>
              </w:rPr>
            </w:pPr>
            <w:r>
              <w:rPr>
                <w:rFonts w:hint="eastAsia" w:ascii="仿宋" w:hAnsi="仿宋" w:eastAsia="仿宋" w:cs="仿宋"/>
                <w:sz w:val="24"/>
              </w:rPr>
              <w:t>4.954600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68" w:type="pct"/>
            <w:vAlign w:val="center"/>
          </w:tcPr>
          <w:p>
            <w:pPr>
              <w:jc w:val="center"/>
              <w:rPr>
                <w:rFonts w:ascii="仿宋" w:hAnsi="仿宋" w:eastAsia="仿宋" w:cs="仿宋"/>
                <w:color w:val="FF0000"/>
                <w:sz w:val="24"/>
              </w:rPr>
            </w:pPr>
            <w:r>
              <w:rPr>
                <w:rFonts w:hint="eastAsia" w:ascii="仿宋" w:hAnsi="仿宋" w:eastAsia="仿宋" w:cs="仿宋"/>
                <w:sz w:val="24"/>
              </w:rPr>
              <w:t>2023</w:t>
            </w:r>
          </w:p>
        </w:tc>
        <w:tc>
          <w:tcPr>
            <w:tcW w:w="531" w:type="pct"/>
            <w:vAlign w:val="center"/>
          </w:tcPr>
          <w:p>
            <w:pPr>
              <w:jc w:val="center"/>
              <w:rPr>
                <w:rFonts w:ascii="仿宋" w:hAnsi="仿宋" w:eastAsia="仿宋" w:cs="仿宋"/>
                <w:sz w:val="24"/>
              </w:rPr>
            </w:pPr>
            <w:r>
              <w:rPr>
                <w:rFonts w:hint="eastAsia" w:ascii="仿宋" w:hAnsi="仿宋" w:eastAsia="仿宋" w:cs="仿宋"/>
                <w:sz w:val="24"/>
              </w:rPr>
              <w:t>专家费</w:t>
            </w:r>
          </w:p>
        </w:tc>
        <w:tc>
          <w:tcPr>
            <w:tcW w:w="688" w:type="pct"/>
            <w:vAlign w:val="center"/>
          </w:tcPr>
          <w:p>
            <w:pPr>
              <w:jc w:val="center"/>
              <w:rPr>
                <w:rFonts w:ascii="仿宋" w:hAnsi="仿宋" w:eastAsia="仿宋" w:cs="仿宋"/>
                <w:sz w:val="24"/>
              </w:rPr>
            </w:pPr>
            <w:r>
              <w:rPr>
                <w:rFonts w:hint="eastAsia" w:ascii="仿宋" w:hAnsi="仿宋" w:eastAsia="仿宋" w:cs="仿宋"/>
                <w:sz w:val="24"/>
              </w:rPr>
              <w:t>商品和服务支出-劳务费</w:t>
            </w:r>
          </w:p>
        </w:tc>
        <w:tc>
          <w:tcPr>
            <w:tcW w:w="706" w:type="pct"/>
            <w:vAlign w:val="center"/>
          </w:tcPr>
          <w:p>
            <w:pPr>
              <w:jc w:val="center"/>
              <w:rPr>
                <w:rFonts w:ascii="仿宋" w:hAnsi="仿宋" w:eastAsia="仿宋" w:cs="仿宋"/>
                <w:sz w:val="24"/>
              </w:rPr>
            </w:pPr>
            <w:r>
              <w:rPr>
                <w:rFonts w:hint="eastAsia" w:ascii="仿宋" w:hAnsi="仿宋" w:eastAsia="仿宋" w:cs="仿宋"/>
                <w:sz w:val="24"/>
              </w:rPr>
              <w:t>否</w:t>
            </w:r>
          </w:p>
        </w:tc>
        <w:tc>
          <w:tcPr>
            <w:tcW w:w="985" w:type="pct"/>
            <w:vAlign w:val="center"/>
          </w:tcPr>
          <w:p>
            <w:pPr>
              <w:jc w:val="center"/>
              <w:rPr>
                <w:rFonts w:ascii="仿宋" w:hAnsi="仿宋" w:eastAsia="仿宋" w:cs="仿宋"/>
                <w:sz w:val="24"/>
              </w:rPr>
            </w:pPr>
          </w:p>
        </w:tc>
        <w:tc>
          <w:tcPr>
            <w:tcW w:w="682" w:type="pct"/>
            <w:vAlign w:val="center"/>
          </w:tcPr>
          <w:p>
            <w:pPr>
              <w:jc w:val="center"/>
              <w:rPr>
                <w:rFonts w:ascii="仿宋" w:hAnsi="仿宋" w:eastAsia="仿宋" w:cs="仿宋"/>
                <w:sz w:val="24"/>
              </w:rPr>
            </w:pPr>
          </w:p>
        </w:tc>
        <w:tc>
          <w:tcPr>
            <w:tcW w:w="389" w:type="pct"/>
            <w:vAlign w:val="center"/>
          </w:tcPr>
          <w:p>
            <w:pPr>
              <w:jc w:val="center"/>
              <w:rPr>
                <w:rFonts w:ascii="仿宋" w:hAnsi="仿宋" w:eastAsia="仿宋" w:cs="仿宋"/>
                <w:sz w:val="24"/>
              </w:rPr>
            </w:pPr>
            <w:r>
              <w:rPr>
                <w:rFonts w:hint="eastAsia" w:ascii="仿宋" w:hAnsi="仿宋" w:eastAsia="仿宋" w:cs="仿宋"/>
                <w:sz w:val="24"/>
              </w:rPr>
              <w:t>1项</w:t>
            </w:r>
          </w:p>
        </w:tc>
        <w:tc>
          <w:tcPr>
            <w:tcW w:w="548" w:type="pct"/>
            <w:vAlign w:val="center"/>
          </w:tcPr>
          <w:p>
            <w:pPr>
              <w:jc w:val="center"/>
              <w:rPr>
                <w:rFonts w:ascii="仿宋" w:hAnsi="仿宋" w:eastAsia="仿宋" w:cs="仿宋"/>
                <w:sz w:val="24"/>
              </w:rPr>
            </w:pPr>
            <w:r>
              <w:rPr>
                <w:rFonts w:hint="eastAsia" w:ascii="仿宋" w:hAnsi="仿宋" w:eastAsia="仿宋" w:cs="仿宋"/>
                <w:sz w:val="24"/>
              </w:rPr>
              <w:t>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68" w:type="pct"/>
            <w:vAlign w:val="center"/>
          </w:tcPr>
          <w:p>
            <w:pPr>
              <w:jc w:val="center"/>
              <w:rPr>
                <w:rFonts w:ascii="仿宋" w:hAnsi="仿宋" w:eastAsia="仿宋" w:cs="仿宋"/>
                <w:color w:val="FF0000"/>
                <w:sz w:val="24"/>
              </w:rPr>
            </w:pPr>
            <w:r>
              <w:rPr>
                <w:rFonts w:hint="eastAsia" w:ascii="仿宋" w:hAnsi="仿宋" w:eastAsia="仿宋" w:cs="仿宋"/>
                <w:sz w:val="24"/>
              </w:rPr>
              <w:t>2023</w:t>
            </w:r>
          </w:p>
        </w:tc>
        <w:tc>
          <w:tcPr>
            <w:tcW w:w="531" w:type="pct"/>
            <w:vAlign w:val="center"/>
          </w:tcPr>
          <w:p>
            <w:pPr>
              <w:jc w:val="center"/>
              <w:rPr>
                <w:rFonts w:ascii="仿宋" w:hAnsi="仿宋" w:eastAsia="仿宋" w:cs="仿宋"/>
                <w:sz w:val="24"/>
              </w:rPr>
            </w:pPr>
            <w:r>
              <w:rPr>
                <w:rFonts w:hint="eastAsia" w:ascii="仿宋" w:hAnsi="仿宋" w:eastAsia="仿宋" w:cs="仿宋"/>
                <w:sz w:val="24"/>
              </w:rPr>
              <w:t>计算机工作站</w:t>
            </w:r>
          </w:p>
        </w:tc>
        <w:tc>
          <w:tcPr>
            <w:tcW w:w="688" w:type="pct"/>
            <w:vAlign w:val="center"/>
          </w:tcPr>
          <w:p>
            <w:pPr>
              <w:jc w:val="center"/>
              <w:rPr>
                <w:rFonts w:ascii="仿宋" w:hAnsi="仿宋" w:eastAsia="仿宋" w:cs="仿宋"/>
                <w:sz w:val="24"/>
              </w:rPr>
            </w:pPr>
            <w:r>
              <w:rPr>
                <w:rFonts w:hint="eastAsia" w:ascii="仿宋" w:hAnsi="仿宋" w:eastAsia="仿宋" w:cs="仿宋"/>
                <w:sz w:val="24"/>
              </w:rPr>
              <w:t>资本性支出-专用设备购置</w:t>
            </w:r>
          </w:p>
        </w:tc>
        <w:tc>
          <w:tcPr>
            <w:tcW w:w="706" w:type="pct"/>
            <w:vAlign w:val="center"/>
          </w:tcPr>
          <w:p>
            <w:pPr>
              <w:jc w:val="center"/>
              <w:rPr>
                <w:rFonts w:ascii="仿宋" w:hAnsi="仿宋" w:eastAsia="仿宋" w:cs="仿宋"/>
                <w:sz w:val="24"/>
              </w:rPr>
            </w:pPr>
            <w:r>
              <w:rPr>
                <w:rFonts w:hint="eastAsia" w:ascii="仿宋" w:hAnsi="仿宋" w:eastAsia="仿宋" w:cs="仿宋"/>
                <w:sz w:val="24"/>
              </w:rPr>
              <w:t>是</w:t>
            </w:r>
          </w:p>
        </w:tc>
        <w:tc>
          <w:tcPr>
            <w:tcW w:w="985" w:type="pct"/>
            <w:vAlign w:val="center"/>
          </w:tcPr>
          <w:p>
            <w:pPr>
              <w:jc w:val="center"/>
              <w:rPr>
                <w:rFonts w:ascii="仿宋" w:hAnsi="仿宋" w:eastAsia="仿宋" w:cs="仿宋"/>
                <w:sz w:val="24"/>
              </w:rPr>
            </w:pPr>
            <w:r>
              <w:rPr>
                <w:rFonts w:hint="eastAsia" w:ascii="仿宋" w:hAnsi="仿宋" w:eastAsia="仿宋" w:cs="仿宋"/>
                <w:sz w:val="24"/>
              </w:rPr>
              <w:t>A02010104</w:t>
            </w:r>
          </w:p>
          <w:p>
            <w:pPr>
              <w:jc w:val="center"/>
              <w:rPr>
                <w:rFonts w:ascii="仿宋" w:hAnsi="仿宋" w:eastAsia="仿宋" w:cs="仿宋"/>
                <w:sz w:val="24"/>
              </w:rPr>
            </w:pPr>
            <w:r>
              <w:rPr>
                <w:rFonts w:hint="eastAsia" w:ascii="仿宋" w:hAnsi="仿宋" w:eastAsia="仿宋" w:cs="仿宋"/>
                <w:sz w:val="24"/>
              </w:rPr>
              <w:t>台式计算机</w:t>
            </w:r>
          </w:p>
        </w:tc>
        <w:tc>
          <w:tcPr>
            <w:tcW w:w="682" w:type="pct"/>
            <w:vAlign w:val="center"/>
          </w:tcPr>
          <w:p>
            <w:pPr>
              <w:jc w:val="center"/>
              <w:rPr>
                <w:rFonts w:ascii="仿宋" w:hAnsi="仿宋" w:eastAsia="仿宋" w:cs="仿宋"/>
                <w:sz w:val="24"/>
              </w:rPr>
            </w:pPr>
          </w:p>
        </w:tc>
        <w:tc>
          <w:tcPr>
            <w:tcW w:w="389" w:type="pct"/>
            <w:vAlign w:val="center"/>
          </w:tcPr>
          <w:p>
            <w:pPr>
              <w:jc w:val="center"/>
              <w:rPr>
                <w:rFonts w:ascii="仿宋" w:hAnsi="仿宋" w:eastAsia="仿宋" w:cs="仿宋"/>
                <w:sz w:val="24"/>
              </w:rPr>
            </w:pPr>
            <w:r>
              <w:rPr>
                <w:rFonts w:hint="eastAsia" w:ascii="仿宋" w:hAnsi="仿宋" w:eastAsia="仿宋" w:cs="仿宋"/>
                <w:sz w:val="24"/>
              </w:rPr>
              <w:t>1</w:t>
            </w:r>
          </w:p>
        </w:tc>
        <w:tc>
          <w:tcPr>
            <w:tcW w:w="548" w:type="pct"/>
            <w:vAlign w:val="center"/>
          </w:tcPr>
          <w:p>
            <w:pPr>
              <w:jc w:val="center"/>
              <w:rPr>
                <w:rFonts w:ascii="仿宋" w:hAnsi="仿宋" w:eastAsia="仿宋" w:cs="仿宋"/>
                <w:sz w:val="24"/>
              </w:rPr>
            </w:pPr>
            <w:r>
              <w:rPr>
                <w:rFonts w:hint="eastAsia" w:ascii="仿宋" w:hAnsi="仿宋" w:eastAsia="仿宋" w:cs="仿宋"/>
                <w:sz w:val="24"/>
              </w:rPr>
              <w:t>11.860000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68" w:type="pct"/>
            <w:vAlign w:val="center"/>
          </w:tcPr>
          <w:p>
            <w:pPr>
              <w:jc w:val="center"/>
              <w:rPr>
                <w:rFonts w:ascii="仿宋" w:hAnsi="仿宋" w:eastAsia="仿宋" w:cs="仿宋"/>
                <w:sz w:val="24"/>
              </w:rPr>
            </w:pPr>
            <w:r>
              <w:rPr>
                <w:rFonts w:hint="eastAsia" w:ascii="仿宋" w:hAnsi="仿宋" w:eastAsia="仿宋" w:cs="仿宋"/>
                <w:sz w:val="24"/>
              </w:rPr>
              <w:t>明细合计</w:t>
            </w:r>
          </w:p>
        </w:tc>
        <w:tc>
          <w:tcPr>
            <w:tcW w:w="531" w:type="pct"/>
            <w:vAlign w:val="center"/>
          </w:tcPr>
          <w:p>
            <w:pPr>
              <w:jc w:val="center"/>
              <w:rPr>
                <w:rFonts w:ascii="仿宋" w:hAnsi="仿宋" w:eastAsia="仿宋" w:cs="仿宋"/>
                <w:sz w:val="24"/>
              </w:rPr>
            </w:pPr>
          </w:p>
        </w:tc>
        <w:tc>
          <w:tcPr>
            <w:tcW w:w="688" w:type="pct"/>
            <w:vAlign w:val="center"/>
          </w:tcPr>
          <w:p>
            <w:pPr>
              <w:jc w:val="center"/>
              <w:rPr>
                <w:rFonts w:ascii="仿宋" w:hAnsi="仿宋" w:eastAsia="仿宋" w:cs="仿宋"/>
                <w:sz w:val="24"/>
              </w:rPr>
            </w:pPr>
          </w:p>
        </w:tc>
        <w:tc>
          <w:tcPr>
            <w:tcW w:w="706" w:type="pct"/>
            <w:vAlign w:val="center"/>
          </w:tcPr>
          <w:p>
            <w:pPr>
              <w:jc w:val="center"/>
              <w:rPr>
                <w:rFonts w:ascii="仿宋" w:hAnsi="仿宋" w:eastAsia="仿宋" w:cs="仿宋"/>
                <w:sz w:val="24"/>
              </w:rPr>
            </w:pPr>
          </w:p>
        </w:tc>
        <w:tc>
          <w:tcPr>
            <w:tcW w:w="985" w:type="pct"/>
            <w:vAlign w:val="center"/>
          </w:tcPr>
          <w:p>
            <w:pPr>
              <w:jc w:val="center"/>
              <w:rPr>
                <w:rFonts w:ascii="仿宋" w:hAnsi="仿宋" w:eastAsia="仿宋" w:cs="仿宋"/>
                <w:sz w:val="24"/>
              </w:rPr>
            </w:pPr>
          </w:p>
        </w:tc>
        <w:tc>
          <w:tcPr>
            <w:tcW w:w="682" w:type="pct"/>
            <w:vAlign w:val="center"/>
          </w:tcPr>
          <w:p>
            <w:pPr>
              <w:jc w:val="center"/>
              <w:rPr>
                <w:rFonts w:ascii="仿宋" w:hAnsi="仿宋" w:eastAsia="仿宋" w:cs="仿宋"/>
                <w:sz w:val="24"/>
              </w:rPr>
            </w:pPr>
          </w:p>
        </w:tc>
        <w:tc>
          <w:tcPr>
            <w:tcW w:w="389" w:type="pct"/>
            <w:vAlign w:val="center"/>
          </w:tcPr>
          <w:p>
            <w:pPr>
              <w:jc w:val="center"/>
              <w:rPr>
                <w:rFonts w:ascii="仿宋" w:hAnsi="仿宋" w:eastAsia="仿宋" w:cs="仿宋"/>
                <w:sz w:val="24"/>
              </w:rPr>
            </w:pPr>
          </w:p>
        </w:tc>
        <w:tc>
          <w:tcPr>
            <w:tcW w:w="548" w:type="pct"/>
            <w:vAlign w:val="center"/>
          </w:tcPr>
          <w:p>
            <w:pPr>
              <w:jc w:val="center"/>
              <w:rPr>
                <w:rFonts w:ascii="仿宋" w:hAnsi="仿宋" w:eastAsia="仿宋" w:cs="仿宋"/>
                <w:sz w:val="24"/>
              </w:rPr>
            </w:pPr>
            <w:r>
              <w:rPr>
                <w:rFonts w:hint="eastAsia" w:ascii="仿宋" w:hAnsi="仿宋" w:eastAsia="仿宋" w:cs="仿宋"/>
                <w:sz w:val="24"/>
              </w:rPr>
              <w:t>498.881546</w:t>
            </w:r>
          </w:p>
        </w:tc>
      </w:tr>
    </w:tbl>
    <w:p>
      <w:pPr>
        <w:pStyle w:val="13"/>
      </w:pPr>
    </w:p>
    <w:p>
      <w:pPr>
        <w:pStyle w:val="13"/>
      </w:pP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初步构建以智能交通服务专业群建设模式，根据专业群的建设需要新增新专业一个，升级老专业一个。培养以面向流通行业智能交通服务人才为培养目标；探索适应数字交通服务产业群人才培养路径；整合资源联合业内领先企业（群）生态深化合作，初步形成智能交通人才链协同育人机制；依托祥龙博瑞汽车工程师学院产教融合创新载体，探索现代学徒制改革，校企合作搭建融入“1+X”证书课程的专业群及专业的课程体系。开发通识课程资源，推进课堂教学改革，创新课堂教学模式和评价模式；成立大师工作室、技术创新中心，校企合作开发工作标准等服务项目。</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pacing w:line="60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按照北京市财政局关于2024年推进全面实施预算绩效管理工作的预通知要求，为了加强部门预算支出绩效管理，增强责任意识和效率意识，提高财政资金使用效益，对我单位</w:t>
      </w:r>
      <w:r>
        <w:rPr>
          <w:rFonts w:ascii="仿宋" w:hAnsi="仿宋" w:eastAsia="仿宋" w:cs="仿宋"/>
          <w:sz w:val="28"/>
          <w:szCs w:val="28"/>
        </w:rPr>
        <w:t>202</w:t>
      </w:r>
      <w:r>
        <w:rPr>
          <w:rFonts w:hint="eastAsia" w:ascii="仿宋" w:hAnsi="仿宋" w:eastAsia="仿宋" w:cs="仿宋"/>
          <w:sz w:val="28"/>
          <w:szCs w:val="28"/>
        </w:rPr>
        <w:t>3年纳入预算的所有填报绩效目标的项目进行自评，在自评的基础上，结合项目工作实际情况，对本项目进行重点绩效评价。</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（二）绩效评价原则、评价指标体系（附表说明）、评价方法、评价标准等。</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1、绩效评价工作的原则包括：</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（1）科学公正原则。运用科学的方法进行评价，客观、公正的反应项目情况。</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（2）统筹兼顾原则。单位自评与部门评价相结合，部门评价在单位自评基础上开展。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（3）激励约束原则。科学有效的应用绩效评价结果，做到“用钱必问效，无效必问责”，更好地促进和提升项目管理工作。</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（4）公开透明原则。绩效评价结果按有关要求依法依规公开。</w:t>
      </w:r>
    </w:p>
    <w:p>
      <w:pPr>
        <w:spacing w:line="600" w:lineRule="exact"/>
        <w:ind w:firstLine="640" w:firstLineChars="200"/>
      </w:pPr>
      <w:r>
        <w:rPr>
          <w:rFonts w:hint="eastAsia" w:ascii="仿宋" w:hAnsi="仿宋" w:eastAsia="仿宋" w:cs="仿宋"/>
          <w:sz w:val="32"/>
          <w:szCs w:val="32"/>
        </w:rPr>
        <w:t>2、评价指标体系</w:t>
      </w:r>
    </w:p>
    <w:p>
      <w:pPr>
        <w:sectPr>
          <w:pgSz w:w="11906" w:h="16838"/>
          <w:pgMar w:top="1531" w:right="1871" w:bottom="1474" w:left="1644" w:header="737" w:footer="851" w:gutter="0"/>
          <w:pgNumType w:fmt="numberInDash"/>
          <w:cols w:space="720" w:num="1"/>
          <w:docGrid w:type="linesAndChars" w:linePitch="408" w:charSpace="0"/>
        </w:sectPr>
      </w:pPr>
    </w:p>
    <w:tbl>
      <w:tblPr>
        <w:tblStyle w:val="9"/>
        <w:tblW w:w="136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036"/>
        <w:gridCol w:w="1574"/>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FFFFFF"/>
            <w:vAlign w:val="center"/>
          </w:tcPr>
          <w:p>
            <w:pPr>
              <w:widowControl/>
              <w:spacing w:line="0" w:lineRule="atLeas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一级指标</w:t>
            </w:r>
          </w:p>
        </w:tc>
        <w:tc>
          <w:tcPr>
            <w:tcW w:w="1036" w:type="dxa"/>
            <w:shd w:val="clear" w:color="auto" w:fill="FFFFFF"/>
            <w:vAlign w:val="center"/>
          </w:tcPr>
          <w:p>
            <w:pPr>
              <w:widowControl/>
              <w:spacing w:line="0" w:lineRule="atLeas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二级指标</w:t>
            </w:r>
          </w:p>
        </w:tc>
        <w:tc>
          <w:tcPr>
            <w:tcW w:w="1574" w:type="dxa"/>
            <w:shd w:val="clear" w:color="auto" w:fill="FFFFFF"/>
            <w:vAlign w:val="center"/>
          </w:tcPr>
          <w:p>
            <w:pPr>
              <w:widowControl/>
              <w:spacing w:line="0" w:lineRule="atLeas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三级指标</w:t>
            </w:r>
          </w:p>
        </w:tc>
        <w:tc>
          <w:tcPr>
            <w:tcW w:w="2789" w:type="dxa"/>
            <w:shd w:val="clear" w:color="auto" w:fill="FFFFFF"/>
            <w:vAlign w:val="center"/>
          </w:tcPr>
          <w:p>
            <w:pPr>
              <w:widowControl/>
              <w:spacing w:line="0" w:lineRule="atLeas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指标解释</w:t>
            </w:r>
          </w:p>
        </w:tc>
        <w:tc>
          <w:tcPr>
            <w:tcW w:w="7341" w:type="dxa"/>
            <w:shd w:val="clear" w:color="auto" w:fill="FFFFFF"/>
            <w:vAlign w:val="center"/>
          </w:tcPr>
          <w:p>
            <w:pPr>
              <w:widowControl/>
              <w:spacing w:line="0" w:lineRule="atLeas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70" w:hRule="atLeast"/>
          <w:jc w:val="center"/>
        </w:trPr>
        <w:tc>
          <w:tcPr>
            <w:tcW w:w="861"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决策　</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36"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项目立项　</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立项依据</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充分性</w:t>
            </w:r>
          </w:p>
        </w:tc>
        <w:tc>
          <w:tcPr>
            <w:tcW w:w="2789"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项目立项是否符合法律法规、相关政策、发展规划以及部门职责，用以反映和考核项目立项依据情况。</w:t>
            </w:r>
          </w:p>
        </w:tc>
        <w:tc>
          <w:tcPr>
            <w:tcW w:w="7341" w:type="dxa"/>
            <w:shd w:val="clear" w:color="auto" w:fill="FFFFFF"/>
            <w:vAlign w:val="center"/>
          </w:tcPr>
          <w:p>
            <w:pPr>
              <w:widowControl/>
              <w:spacing w:line="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①项目立项是否符合国家法律法规、国民经济发展规划和相关政策；</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②项目立项是否符合行业发展规划和政策要求；</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③项目立项是否与部门职责范围相符，属于部门履职所需；</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④项目是否与部门内部相关项目重复。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1"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立项程序</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规范性</w:t>
            </w:r>
          </w:p>
        </w:tc>
        <w:tc>
          <w:tcPr>
            <w:tcW w:w="2789"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项目申请、设立过程是否符合相关要求，用以反映和考核项目立项的规范情况。</w:t>
            </w:r>
          </w:p>
        </w:tc>
        <w:tc>
          <w:tcPr>
            <w:tcW w:w="7341" w:type="dxa"/>
            <w:shd w:val="clear" w:color="auto" w:fill="FFFFFF"/>
            <w:vAlign w:val="center"/>
          </w:tcPr>
          <w:p>
            <w:pPr>
              <w:widowControl/>
              <w:spacing w:line="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①项目是否按照规定的程序申请设立；</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②审批文件、材料是否符合相关要求；</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绩效目标　</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绩效目标</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合理性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项目所设定的绩效目标是否依据充分，是否符合客观实际，用以反映和考核项目绩效目标与项目实施的相符情况。</w:t>
            </w:r>
          </w:p>
        </w:tc>
        <w:tc>
          <w:tcPr>
            <w:tcW w:w="7341" w:type="dxa"/>
            <w:shd w:val="clear" w:color="000000" w:fill="FFFFFF"/>
            <w:vAlign w:val="center"/>
          </w:tcPr>
          <w:p>
            <w:pPr>
              <w:widowControl/>
              <w:spacing w:line="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①项目是否有绩效目标；</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②项目绩效目标与实际工作内容是否具有相关性；</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③项目预期产出效益和效果是否符合正常的业绩水平；</w:t>
            </w:r>
          </w:p>
          <w:p>
            <w:pPr>
              <w:widowControl/>
              <w:spacing w:line="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决策　</w:t>
            </w: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绩效目标</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绩效指标</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明确性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依据绩效目标设定的绩效指标是否清晰、细化、可衡量等，用以反映和考核项目绩效目标的明细化情况。</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①是否将项目绩效目标细化分解为具体的绩效指标；</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②是否通过清晰、可衡量的指标值予以体现；</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③是否与项目目标任务数或计划数相对应。</w:t>
            </w:r>
            <w:r>
              <w:rPr>
                <w:rFonts w:hint="eastAsia" w:ascii="仿宋_GB2312" w:hAnsi="宋体" w:eastAsia="仿宋_GB2312" w:cs="宋体"/>
                <w:color w:val="000000"/>
                <w:kern w:val="0"/>
                <w:sz w:val="28"/>
                <w:szCs w:val="28"/>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资金投入</w:t>
            </w:r>
          </w:p>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预算编制</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科学性</w:t>
            </w:r>
          </w:p>
        </w:tc>
        <w:tc>
          <w:tcPr>
            <w:tcW w:w="2789"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项目预算编制是否经过科学论证、有明确标准，资金额度与年度目标是否相适应，用以反映和考核项目预算编制的科学性、合理性情况。</w:t>
            </w:r>
          </w:p>
        </w:tc>
        <w:tc>
          <w:tcPr>
            <w:tcW w:w="7341"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①预算编制是否经过科学论证；</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②预算内容与项目内容是否匹配；</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③预算额度测算依据是否充分，是否按照标准编制；</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036"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资金分配</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合理性</w:t>
            </w:r>
          </w:p>
        </w:tc>
        <w:tc>
          <w:tcPr>
            <w:tcW w:w="2789"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项目预算资金分配是否有测算依据，用以反映和考核项目预算资金分配的科学性、合理性情况。</w:t>
            </w:r>
          </w:p>
        </w:tc>
        <w:tc>
          <w:tcPr>
            <w:tcW w:w="7341"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①预算资金分配依据是否充分；</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②资金分配额度是否合理，与项目单位是否相适应。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61" w:hRule="atLeast"/>
          <w:jc w:val="center"/>
        </w:trPr>
        <w:tc>
          <w:tcPr>
            <w:tcW w:w="861" w:type="dxa"/>
            <w:vMerge w:val="restart"/>
            <w:shd w:val="clear" w:color="auto" w:fill="FFFFFF"/>
            <w:vAlign w:val="center"/>
          </w:tcPr>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过程</w:t>
            </w:r>
          </w:p>
        </w:tc>
        <w:tc>
          <w:tcPr>
            <w:tcW w:w="1036"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资金管理</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资金到位率</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实际到位资金与预算资金的比率，用以反映和考核资金落实情况对项目实施的总体保障程度。</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资金到位率=（实际到位资金/预算资金）×100%。</w:t>
            </w:r>
          </w:p>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实际到位资金：一定时期（本年度或项目期）内落实到具体项目的资金。</w:t>
            </w:r>
          </w:p>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4"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预算执行率</w:t>
            </w:r>
          </w:p>
        </w:tc>
        <w:tc>
          <w:tcPr>
            <w:tcW w:w="2789"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项目预算资金是否按照计划执行，用以反映或考核项目预算执行情况。</w:t>
            </w:r>
          </w:p>
        </w:tc>
        <w:tc>
          <w:tcPr>
            <w:tcW w:w="7341"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预算执行率=（实际支出资金/实际到位资金）×100%。</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74" w:hRule="atLeast"/>
          <w:jc w:val="center"/>
        </w:trPr>
        <w:tc>
          <w:tcPr>
            <w:tcW w:w="861"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过程　</w:t>
            </w: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资金管理</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资金使用</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合规性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项目资金使用是否符合相关的财务管理制度规定，用以反映和考核项目资金的规范运行情况。</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①是否符合国家财经法规和财务管理制度以及有关专项资金管理办法的规定；</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②资金的拨付是否有完整的审批程序和手续；</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③是否符合项目预算批复或合同规定的用途；</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组织实施</w:t>
            </w:r>
          </w:p>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管理制度</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健全性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项目实施单位的财务和业务管理制度是否健全，用以反映和考核财务和业务管理制度对项目顺利实施的保障情况。</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①是否已制定或具有相应的财务和业务管理制度；</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036"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制度执行</w:t>
            </w:r>
          </w:p>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有效性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项目实施是否符合相关管理规定，用以反映和考核相关管理制度的有效执行情况。</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评价要点：</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①是否遵守相关法律法规和相关管理规定；</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②项目调整及支出调整手续是否完备；</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③项目合同书、验收报告等资料是否齐全并及时归档；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7" w:hRule="atLeast"/>
          <w:jc w:val="center"/>
        </w:trPr>
        <w:tc>
          <w:tcPr>
            <w:tcW w:w="861"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w:t>
            </w: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产出数量</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实际完成率</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项目实施的实际产出数与计划产出数的比率，用以反映和考核项目产出数量目标的实现程度。</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实际完成率=（实际产出数/计划产出数）×100%。</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实际产出数：一定时期（本年度或项目期）内项目实际产出的产品或提供的服务数量。</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w:t>
            </w: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产出质量</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质量达标率</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项目完成的质量达标产出数与实际产出数的比率，用以反映和考核项目产出质量目标的实现程度。</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质量达标率=（质量达标产出数/实际产出数）×100%。</w:t>
            </w:r>
          </w:p>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质量达标产出数：一定时期（本年度或项目期）内实际达到既定质量标准的产品或服务数量。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4" w:hRule="atLeast"/>
          <w:jc w:val="center"/>
        </w:trPr>
        <w:tc>
          <w:tcPr>
            <w:tcW w:w="861" w:type="dxa"/>
            <w:vMerge w:val="continue"/>
            <w:shd w:val="clear" w:color="auto" w:fill="FFFFFF"/>
            <w:vAlign w:val="center"/>
          </w:tcPr>
          <w:p>
            <w:pPr>
              <w:spacing w:line="0" w:lineRule="atLeast"/>
              <w:jc w:val="center"/>
              <w:rPr>
                <w:rFonts w:ascii="仿宋_GB2312" w:hAnsi="宋体" w:eastAsia="仿宋_GB2312" w:cs="宋体"/>
                <w:color w:val="000000"/>
                <w:kern w:val="0"/>
                <w:sz w:val="28"/>
                <w:szCs w:val="28"/>
              </w:rPr>
            </w:pPr>
          </w:p>
        </w:tc>
        <w:tc>
          <w:tcPr>
            <w:tcW w:w="1036" w:type="dxa"/>
            <w:shd w:val="clear" w:color="auto" w:fill="FFFFFF"/>
            <w:vAlign w:val="center"/>
          </w:tcPr>
          <w:p>
            <w:pPr>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产出时效</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完成及时性</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项目实际完成时间与计划完成时间的比较，用以反映和考核项目产出时效目标的实现程度。</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实际完成时间：完成该项目实际所耗用的时间。</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1"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036"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成本指标</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项目预算控制数</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实际支出的项目资金与预算批复数的对比，用以反映和考核是否超预算执行。</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实际支出的项目资金应控制在预算批复数范围内。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1" w:hRule="atLeast"/>
          <w:jc w:val="center"/>
        </w:trPr>
        <w:tc>
          <w:tcPr>
            <w:tcW w:w="861"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效益　</w:t>
            </w:r>
          </w:p>
        </w:tc>
        <w:tc>
          <w:tcPr>
            <w:tcW w:w="1036" w:type="dxa"/>
            <w:vMerge w:val="restart"/>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项目效益　</w:t>
            </w: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实施效益</w:t>
            </w:r>
          </w:p>
        </w:tc>
        <w:tc>
          <w:tcPr>
            <w:tcW w:w="2789" w:type="dxa"/>
            <w:shd w:val="clear" w:color="auto" w:fill="FFFFFF"/>
            <w:vAlign w:val="center"/>
          </w:tcPr>
          <w:p>
            <w:pPr>
              <w:widowControl/>
              <w:spacing w:line="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项目实施所产生的效益。</w:t>
            </w:r>
          </w:p>
        </w:tc>
        <w:tc>
          <w:tcPr>
            <w:tcW w:w="7341" w:type="dxa"/>
            <w:shd w:val="clear" w:color="auto"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项目实施所产生的社会效益、经济效益、可持续影响等。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8" w:hRule="atLeast"/>
          <w:jc w:val="center"/>
        </w:trPr>
        <w:tc>
          <w:tcPr>
            <w:tcW w:w="861"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036" w:type="dxa"/>
            <w:vMerge w:val="continue"/>
            <w:shd w:val="clear" w:color="auto" w:fill="FFFFFF"/>
            <w:vAlign w:val="center"/>
          </w:tcPr>
          <w:p>
            <w:pPr>
              <w:widowControl/>
              <w:spacing w:line="0" w:lineRule="atLeast"/>
              <w:jc w:val="center"/>
              <w:rPr>
                <w:rFonts w:ascii="仿宋_GB2312" w:hAnsi="宋体" w:eastAsia="仿宋_GB2312" w:cs="宋体"/>
                <w:color w:val="000000"/>
                <w:kern w:val="0"/>
                <w:sz w:val="28"/>
                <w:szCs w:val="28"/>
              </w:rPr>
            </w:pPr>
          </w:p>
        </w:tc>
        <w:tc>
          <w:tcPr>
            <w:tcW w:w="1574" w:type="dxa"/>
            <w:shd w:val="clear" w:color="auto" w:fill="FFFFFF"/>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满意度</w:t>
            </w:r>
          </w:p>
        </w:tc>
        <w:tc>
          <w:tcPr>
            <w:tcW w:w="2789"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服务对象对项目实施效果的满意程度。</w:t>
            </w:r>
          </w:p>
        </w:tc>
        <w:tc>
          <w:tcPr>
            <w:tcW w:w="7341" w:type="dxa"/>
            <w:shd w:val="clear" w:color="000000" w:fill="FFFFFF"/>
            <w:vAlign w:val="center"/>
          </w:tcPr>
          <w:p>
            <w:pPr>
              <w:widowControl/>
              <w:spacing w:line="0" w:lineRule="atLeas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服务对象是指因该项目实施而受到影响的部门（单位）、群体或个人。一般采取社会调查的方式。</w:t>
            </w:r>
          </w:p>
        </w:tc>
      </w:tr>
    </w:tbl>
    <w:p>
      <w:pPr>
        <w:sectPr>
          <w:headerReference r:id="rId3" w:type="default"/>
          <w:footerReference r:id="rId4" w:type="default"/>
          <w:pgSz w:w="16838" w:h="11906" w:orient="landscape"/>
          <w:pgMar w:top="1797" w:right="1440" w:bottom="1797" w:left="1440" w:header="851" w:footer="992" w:gutter="0"/>
          <w:pgNumType w:fmt="numberInDash"/>
          <w:cols w:space="425" w:num="1"/>
          <w:docGrid w:type="linesAndChars" w:linePitch="312" w:charSpace="0"/>
        </w:sect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3、评价方法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绩效评价方法采用单位自评和部门评价相结合的方式，本项目为我单位重点考核项目，在自评的基础上，由绩效考评专家进行部门考评。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4、评价标准</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绩效评价得分90（含）-100分为优、80（含）-90分为良、60（含）-80分为中、60分以下为差。</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我单位收到北京市财政局关于2024年推进全面实施预算绩效管理工作的预通知后，领导高度重视，召开工作部署会，认真学习相关文件，全面梳理2023年项目工作，成立了项目绩效考评工作小组，制定了绩效评价工作要求和项目清单，涵盖了2023年纳入预算的所有填报绩效目标的项目，由项目部门提供有关材料，由学校相关职能部门负责人组建绩效考评专家组，公开、公平、公正的进行考评，逐项核实，专家组采用加权取平均值的方式进行打分，评价结果确认真实，根据实际考评情况撰写评价报告。</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pPr>
        <w:spacing w:line="600" w:lineRule="exac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本次评价经过收集资料，核实情况，分别采取了定性与定量相结合，核实了预算批复的项目目标完成情况，考评设定分值100分。</w:t>
      </w:r>
      <w:r>
        <w:rPr>
          <w:rFonts w:hint="eastAsia" w:ascii="仿宋" w:hAnsi="仿宋" w:eastAsia="仿宋" w:cs="仿宋"/>
          <w:sz w:val="28"/>
          <w:szCs w:val="28"/>
        </w:rPr>
        <w:t>经绩效评价小组综合评价，该项目绩效管理情况较好，绩效评价结果为优，评分表如下：</w:t>
      </w:r>
    </w:p>
    <w:p>
      <w:pPr>
        <w:spacing w:line="600" w:lineRule="exact"/>
        <w:ind w:firstLine="560" w:firstLineChars="200"/>
        <w:rPr>
          <w:rFonts w:ascii="仿宋" w:hAnsi="仿宋" w:eastAsia="仿宋" w:cs="仿宋"/>
          <w:sz w:val="28"/>
          <w:szCs w:val="28"/>
        </w:rPr>
      </w:pPr>
    </w:p>
    <w:p>
      <w:pPr>
        <w:spacing w:line="480" w:lineRule="exact"/>
        <w:jc w:val="center"/>
        <w:rPr>
          <w:rFonts w:ascii="方正小标宋简体" w:hAnsi="黑体" w:eastAsia="方正小标宋简体"/>
          <w:sz w:val="36"/>
          <w:szCs w:val="36"/>
        </w:rPr>
      </w:pPr>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项目支出绩效评价表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（2023年度）</w:t>
      </w:r>
    </w:p>
    <w:p>
      <w:pPr>
        <w:spacing w:line="240" w:lineRule="exact"/>
        <w:rPr>
          <w:rFonts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747"/>
        <w:gridCol w:w="1125"/>
        <w:gridCol w:w="1740"/>
        <w:gridCol w:w="1454"/>
        <w:gridCol w:w="1127"/>
        <w:gridCol w:w="569"/>
        <w:gridCol w:w="600"/>
        <w:gridCol w:w="1091"/>
      </w:tblGrid>
      <w:tr>
        <w:tblPrEx>
          <w:tblCellMar>
            <w:top w:w="0" w:type="dxa"/>
            <w:left w:w="108" w:type="dxa"/>
            <w:bottom w:w="0" w:type="dxa"/>
            <w:right w:w="108" w:type="dxa"/>
          </w:tblCellMar>
        </w:tblPrEx>
        <w:trPr>
          <w:trHeight w:val="306" w:hRule="exact"/>
          <w:jc w:val="center"/>
        </w:trPr>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70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特高建设—骨干专业—智能交通服务专业群</w:t>
            </w:r>
          </w:p>
        </w:tc>
      </w:tr>
      <w:tr>
        <w:tblPrEx>
          <w:tblCellMar>
            <w:top w:w="0" w:type="dxa"/>
            <w:left w:w="108" w:type="dxa"/>
            <w:bottom w:w="0" w:type="dxa"/>
            <w:right w:w="108" w:type="dxa"/>
          </w:tblCellMar>
        </w:tblPrEx>
        <w:trPr>
          <w:trHeight w:val="771" w:hRule="exact"/>
          <w:jc w:val="center"/>
        </w:trPr>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3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北京一商集团有限责任公司</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北京市商业学校（北京祥龙资产经营有限责任公司党校）</w:t>
            </w:r>
          </w:p>
        </w:tc>
      </w:tr>
      <w:tr>
        <w:tblPrEx>
          <w:tblCellMar>
            <w:top w:w="0" w:type="dxa"/>
            <w:left w:w="108" w:type="dxa"/>
            <w:bottom w:w="0" w:type="dxa"/>
            <w:right w:w="108" w:type="dxa"/>
          </w:tblCellMar>
        </w:tblPrEx>
        <w:trPr>
          <w:trHeight w:val="306" w:hRule="exact"/>
          <w:jc w:val="center"/>
        </w:trPr>
        <w:tc>
          <w:tcPr>
            <w:tcW w:w="13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31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毕丽丽</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81763161</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指标解析</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highlight w:val="none"/>
              </w:rPr>
              <w:t>得分</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备注</w:t>
            </w: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决策</w:t>
            </w:r>
          </w:p>
        </w:tc>
        <w:tc>
          <w:tcPr>
            <w:tcW w:w="1125"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项目立项</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立项依据充分性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项目立项是否符合法律法规、相关政策、发展规划以及部门职责</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left w:val="nil"/>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立项程序规范性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项目申请、设立过程是否符合相关要求</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left w:val="nil"/>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绩效目标</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绩效目标合理性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项目所设定的绩效目标是否依据充分，是否符合客观实际</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1.1</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left w:val="nil"/>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绩效指标明确性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依据绩效目标设定的绩效指标是否清晰、细化、可衡量等</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0.68</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left w:val="nil"/>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restart"/>
            <w:tcBorders>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资金投入</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预算编制科学性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项目预算编制是否经过科学论证、有明确标准，资金额度与年度目标是否相适应</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1.22</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资金分配合理性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项目预算资金分配是否有测算依据</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0.6</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过程</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资金管理</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资金到位率</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实际到位资金与预算资金的比率</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预算执行率</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项目预算资金是否按照计划执行</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资金使用合规性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项目资金使用是否符合相关的财务管理制度规定</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组织实施</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管理制度健全性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项目实施单位的财务和业务管理制度是否健全</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制度执行有效性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项目实施是否符合相关管理规定</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产出数量</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实际完成率</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项目实施的实际产出数与计划产出数的比率</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9.8</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产出质量</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质量达标率</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项目完成的质量达标产出数与实际产出数的比率</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9.8</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产出时效</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完成及时性</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项目实际完成时间与计划完成时间的比较</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实际支出的项目资金与预算批复数的对比</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项目效益</w:t>
            </w: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实施效益</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项目实施所产生的效益</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12.1</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54"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tc>
        <w:tc>
          <w:tcPr>
            <w:tcW w:w="258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服务对象对项目实施效果的满意程度</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12.7</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78"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92</w:t>
            </w:r>
          </w:p>
        </w:tc>
        <w:tc>
          <w:tcPr>
            <w:tcW w:w="109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bl>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1.项目的</w:t>
      </w:r>
      <w:r>
        <w:rPr>
          <w:rFonts w:ascii="仿宋" w:hAnsi="仿宋" w:eastAsia="仿宋" w:cs="仿宋"/>
          <w:b/>
          <w:bCs/>
          <w:sz w:val="28"/>
          <w:szCs w:val="28"/>
        </w:rPr>
        <w:t>决策依据</w:t>
      </w:r>
    </w:p>
    <w:p>
      <w:pPr>
        <w:adjustRightInd w:val="0"/>
        <w:snapToGrid w:val="0"/>
        <w:spacing w:line="360" w:lineRule="auto"/>
        <w:ind w:firstLine="537" w:firstLineChars="192"/>
        <w:rPr>
          <w:rFonts w:ascii="仿宋" w:hAnsi="仿宋" w:eastAsia="仿宋" w:cs="仿宋"/>
          <w:kern w:val="0"/>
          <w:sz w:val="28"/>
          <w:szCs w:val="28"/>
        </w:rPr>
      </w:pPr>
      <w:r>
        <w:rPr>
          <w:rFonts w:hint="eastAsia" w:ascii="仿宋" w:hAnsi="仿宋" w:eastAsia="仿宋" w:cs="仿宋"/>
          <w:kern w:val="0"/>
          <w:sz w:val="28"/>
          <w:szCs w:val="28"/>
        </w:rPr>
        <w:t>智能交通服务专业群项目获得北京市特色高水平学校第三批专业群建设资质。项目建设期为2年。建设内容包括立德树人、专业（群）定位、人才培养方案、标准建设、培养模式、课程建设、资源与使用、教材建设、评价改革、实训基地建设、团队培养、平台建设、技术服务、培养培训、组织机构制度等方面。</w:t>
      </w:r>
    </w:p>
    <w:p>
      <w:pPr>
        <w:pStyle w:val="14"/>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随着5G时代与数字经济背景下，融合人工智能、大数据应用的现代流通业转型发展趋势，发挥智能交通运输专业集群效应下骨干专业引领作用，创新形成特色鲜明、教法先进、评价体系科学的智能交通服务群人才培养模式；将专业群建设成为北京市职业教育改革与创新发展先行者、建设成为服务乡村振兴的示范中心，成为北京智慧交通行业的人才培养示范基地、服务技术成果转化中心、首都市民终身教育及企业员工培训中心，高水平高质量高效能服务首都数字交通产业发展和智慧城市发展需求。</w:t>
      </w:r>
    </w:p>
    <w:p>
      <w:pPr>
        <w:spacing w:line="600" w:lineRule="exact"/>
        <w:ind w:firstLine="562" w:firstLineChars="200"/>
        <w:outlineLvl w:val="0"/>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.年度资金分配</w:t>
      </w:r>
    </w:p>
    <w:p>
      <w:pPr>
        <w:pStyle w:val="12"/>
        <w:spacing w:line="276" w:lineRule="auto"/>
        <w:ind w:firstLine="560"/>
        <w:rPr>
          <w:highlight w:val="none"/>
        </w:rPr>
      </w:pPr>
      <w:r>
        <w:rPr>
          <w:rFonts w:hint="eastAsia" w:ascii="仿宋" w:hAnsi="仿宋" w:eastAsia="仿宋" w:cs="仿宋"/>
          <w:kern w:val="0"/>
          <w:sz w:val="28"/>
          <w:szCs w:val="28"/>
        </w:rPr>
        <w:t>特高建设—骨干专业—智能交通服务专业群项目经费主要用于生产性实训室设备购置、软件购置、实训基地改建</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年初预算数为</w:t>
      </w:r>
      <w:r>
        <w:rPr>
          <w:rFonts w:hint="eastAsia" w:ascii="仿宋" w:hAnsi="仿宋" w:eastAsia="仿宋" w:cs="仿宋"/>
          <w:kern w:val="0"/>
          <w:sz w:val="28"/>
          <w:szCs w:val="28"/>
        </w:rPr>
        <w:t>498.881546</w:t>
      </w:r>
      <w:r>
        <w:rPr>
          <w:rFonts w:hint="eastAsia" w:ascii="仿宋" w:hAnsi="仿宋" w:eastAsia="仿宋" w:cs="仿宋"/>
          <w:kern w:val="0"/>
          <w:sz w:val="28"/>
          <w:szCs w:val="28"/>
          <w:lang w:val="en-US" w:eastAsia="zh-CN"/>
        </w:rPr>
        <w:t>万元，全年</w:t>
      </w:r>
      <w:r>
        <w:rPr>
          <w:rFonts w:hint="eastAsia" w:ascii="仿宋" w:hAnsi="仿宋" w:eastAsia="仿宋" w:cs="仿宋"/>
          <w:kern w:val="0"/>
          <w:sz w:val="28"/>
          <w:szCs w:val="28"/>
        </w:rPr>
        <w:t>预算</w:t>
      </w:r>
      <w:r>
        <w:rPr>
          <w:rFonts w:hint="eastAsia" w:ascii="仿宋" w:hAnsi="仿宋" w:eastAsia="仿宋" w:cs="仿宋"/>
          <w:kern w:val="0"/>
          <w:sz w:val="28"/>
          <w:szCs w:val="28"/>
          <w:highlight w:val="none"/>
          <w:lang w:val="en-US" w:eastAsia="zh-CN"/>
        </w:rPr>
        <w:t>数</w:t>
      </w:r>
      <w:r>
        <w:rPr>
          <w:rFonts w:hint="eastAsia" w:ascii="仿宋" w:hAnsi="仿宋" w:eastAsia="仿宋" w:cs="仿宋"/>
          <w:kern w:val="0"/>
          <w:sz w:val="28"/>
          <w:szCs w:val="28"/>
          <w:highlight w:val="none"/>
        </w:rPr>
        <w:t>为496</w:t>
      </w:r>
      <w:r>
        <w:rPr>
          <w:rFonts w:hint="eastAsia" w:ascii="仿宋" w:hAnsi="仿宋" w:eastAsia="仿宋" w:cs="仿宋"/>
          <w:kern w:val="0"/>
          <w:sz w:val="28"/>
          <w:szCs w:val="28"/>
          <w:highlight w:val="none"/>
          <w:lang w:val="en-US" w:eastAsia="zh-CN"/>
        </w:rPr>
        <w:t>.</w:t>
      </w:r>
      <w:r>
        <w:rPr>
          <w:rFonts w:hint="eastAsia" w:ascii="仿宋" w:hAnsi="仿宋" w:eastAsia="仿宋" w:cs="仿宋"/>
          <w:kern w:val="0"/>
          <w:sz w:val="28"/>
          <w:szCs w:val="28"/>
          <w:highlight w:val="none"/>
        </w:rPr>
        <w:t>780162</w:t>
      </w:r>
      <w:r>
        <w:rPr>
          <w:rFonts w:hint="eastAsia" w:ascii="仿宋" w:hAnsi="仿宋" w:eastAsia="仿宋" w:cs="仿宋"/>
          <w:kern w:val="0"/>
          <w:sz w:val="28"/>
          <w:szCs w:val="28"/>
          <w:highlight w:val="none"/>
          <w:lang w:val="en-US" w:eastAsia="zh-CN"/>
        </w:rPr>
        <w:t>万</w:t>
      </w:r>
      <w:r>
        <w:rPr>
          <w:rFonts w:hint="eastAsia" w:ascii="仿宋" w:hAnsi="仿宋" w:eastAsia="仿宋" w:cs="仿宋"/>
          <w:kern w:val="0"/>
          <w:sz w:val="28"/>
          <w:szCs w:val="28"/>
          <w:highlight w:val="none"/>
        </w:rPr>
        <w:t>元，具体执行数为</w:t>
      </w:r>
      <w:r>
        <w:rPr>
          <w:rFonts w:hint="eastAsia" w:ascii="仿宋" w:hAnsi="仿宋" w:eastAsia="仿宋" w:cs="仿宋"/>
          <w:sz w:val="28"/>
          <w:szCs w:val="28"/>
          <w:highlight w:val="none"/>
        </w:rPr>
        <w:t>496</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559608</w:t>
      </w:r>
      <w:r>
        <w:rPr>
          <w:rFonts w:hint="eastAsia" w:ascii="仿宋" w:hAnsi="仿宋" w:eastAsia="仿宋" w:cs="仿宋"/>
          <w:sz w:val="28"/>
          <w:szCs w:val="28"/>
          <w:highlight w:val="none"/>
          <w:lang w:val="en-US" w:eastAsia="zh-CN"/>
        </w:rPr>
        <w:t>万</w:t>
      </w:r>
      <w:r>
        <w:rPr>
          <w:rFonts w:hint="eastAsia" w:ascii="仿宋" w:hAnsi="仿宋" w:eastAsia="仿宋" w:cs="仿宋"/>
          <w:kern w:val="0"/>
          <w:sz w:val="28"/>
          <w:szCs w:val="28"/>
          <w:highlight w:val="none"/>
        </w:rPr>
        <w:t>元，执行率为</w:t>
      </w:r>
      <w:r>
        <w:rPr>
          <w:rFonts w:hint="eastAsia" w:ascii="仿宋" w:hAnsi="仿宋" w:eastAsia="仿宋" w:cs="仿宋"/>
          <w:sz w:val="28"/>
          <w:szCs w:val="28"/>
          <w:highlight w:val="none"/>
        </w:rPr>
        <w:t>99.96%</w:t>
      </w:r>
      <w:r>
        <w:rPr>
          <w:rFonts w:hint="eastAsia" w:ascii="仿宋" w:hAnsi="仿宋" w:eastAsia="仿宋" w:cs="仿宋"/>
          <w:kern w:val="0"/>
          <w:sz w:val="28"/>
          <w:szCs w:val="28"/>
          <w:highlight w:val="none"/>
        </w:rPr>
        <w:t>。</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1.学校制定《项目管理办法》，实行“项目责任制”</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本项目推行“统一领导、分项负责、统筹协同、事财结合、责任到人、任务到点、绩效评估”的管理原则。学校成立以校长为组长，副书记、副校长、校长助理等为成员的学校项目建设领导小组，全面负责项目建设的总体规划及监督管理事项。</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领导小组下设专项工作组，由主管领导牵头，指定党支部书记或系部处室主任为责任人。特高建设—骨干专业—智能交通服务专业群</w:t>
      </w:r>
      <w:r>
        <w:rPr>
          <w:rFonts w:hint="eastAsia" w:ascii="仿宋" w:hAnsi="仿宋" w:eastAsia="仿宋" w:cs="仿宋"/>
          <w:sz w:val="28"/>
          <w:szCs w:val="28"/>
        </w:rPr>
        <w:t>项目由教学副校长牵头，项目负责人为交通运输系主任，负有项目建设主体责任，保障项目有效实施。</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2.系统制定项目年度工作计划，有效推进项目开展</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根据项目建设目标、建设任务、验收要点和预期效益等，全面制定该项目年度实施计划，并报学校项目管理部门批准后实施，保障项目执行的有效性。</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3.依据《项目资金管理办法》，规范项目资金使用</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按照资金管理办法要求，项目本着合法合规、厉行节约、务实高效、规范管理的原则，严格控制项目预算，注重项目绩效管理；项目开展中，根据采购项目内容和金额，通过政府协议采购、公开招投标等形式进行；资金在支付过程中，遵循严格的审批支付流程，确保资金安全合法使用。</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此外，学校纪委对项目执行进行严格监督管理，对项目招标环节进行监管外，向中标单位发送廉政公函，保障项目合法开展。</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4.项目实行全程管理，考核评价情况</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本项目实行年度计划、学期汇报、年度检查评估、中期检查和终期验收与分类、分层、分期相结合的项目实施管理办法，全程对项目的实施情况进行管理。</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spacing w:line="600" w:lineRule="exact"/>
        <w:ind w:firstLine="560" w:firstLineChars="20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1.数量指标</w:t>
      </w:r>
    </w:p>
    <w:p>
      <w:pPr>
        <w:spacing w:line="600" w:lineRule="exact"/>
        <w:ind w:firstLine="560" w:firstLineChars="200"/>
        <w:outlineLvl w:val="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新建实训基地一个，装修面积为500平米，购置设备情况如下：</w:t>
      </w:r>
    </w:p>
    <w:tbl>
      <w:tblPr>
        <w:tblStyle w:val="9"/>
        <w:tblW w:w="8219" w:type="dxa"/>
        <w:tblInd w:w="0" w:type="dxa"/>
        <w:tblLayout w:type="fixed"/>
        <w:tblCellMar>
          <w:top w:w="0" w:type="dxa"/>
          <w:left w:w="0" w:type="dxa"/>
          <w:bottom w:w="0" w:type="dxa"/>
          <w:right w:w="0" w:type="dxa"/>
        </w:tblCellMar>
      </w:tblPr>
      <w:tblGrid>
        <w:gridCol w:w="588"/>
        <w:gridCol w:w="2796"/>
        <w:gridCol w:w="1756"/>
        <w:gridCol w:w="1594"/>
        <w:gridCol w:w="754"/>
        <w:gridCol w:w="731"/>
      </w:tblGrid>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设备名称</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品牌</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型号或规格</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单位</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数量</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color w:val="000000"/>
                <w:kern w:val="0"/>
                <w:sz w:val="22"/>
                <w:szCs w:val="22"/>
              </w:rPr>
            </w:pPr>
            <w:r>
              <w:rPr>
                <w:rFonts w:hint="eastAsia" w:ascii="仿宋" w:hAnsi="仿宋" w:eastAsia="仿宋" w:cs="宋体"/>
                <w:kern w:val="0"/>
                <w:sz w:val="22"/>
                <w:szCs w:val="22"/>
              </w:rPr>
              <w:t>动力电池性能测试智能实训台</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BT-NEV2-T068</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BT-NEV2-T068</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kern w:val="0"/>
                <w:sz w:val="22"/>
                <w:szCs w:val="22"/>
              </w:rPr>
            </w:pPr>
            <w:r>
              <w:rPr>
                <w:rFonts w:hint="eastAsia" w:ascii="仿宋" w:hAnsi="仿宋" w:eastAsia="仿宋" w:cs="宋体"/>
                <w:kern w:val="0"/>
                <w:sz w:val="22"/>
                <w:szCs w:val="22"/>
              </w:rPr>
              <w:t>动力电池性能测试智能平台</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BT-DCKC-01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BT-DCKC-01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color w:val="000000"/>
                <w:kern w:val="0"/>
                <w:sz w:val="22"/>
                <w:szCs w:val="22"/>
              </w:rPr>
            </w:pPr>
            <w:r>
              <w:rPr>
                <w:rFonts w:hint="eastAsia" w:ascii="仿宋" w:hAnsi="仿宋" w:eastAsia="仿宋" w:cs="宋体"/>
                <w:kern w:val="0"/>
                <w:sz w:val="22"/>
                <w:szCs w:val="22"/>
              </w:rPr>
              <w:t>驱动电机性能测试智能实训台</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BT-NEV2-T076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BT-NEV2-T076</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驱动电机性能测试智能平台</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BT-DJKC-01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BT-DJKC-01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交流充电桩性能测试智能实训台</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BT-NEV2-T083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BT-NEV2-T083</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交流充电桩性能测试智能平台</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BT-CDKC-01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BT-CDKC-01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驱动电机装调实训台</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M-GZ02+M-GY01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M-GZ02+M-GY01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3</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驱动电机装调台系统</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BT-DJKC-021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BT-DJKC-021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3</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动力电池装调实训台</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B-GZ02+B-GY01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B-GZ02+B-GY01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3</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动力电池装调台系统</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BT-DCKC-021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BT-DCKC-021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3</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交流充电桩装调实训台</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C-GZ02+C-GY01+L-CS01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C-GZ02+C-GY01+L-CS01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3</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交流充电桩装调台系统</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BT-CDKC-021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BT-CDKC-021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3</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故障诊断仪</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BTXD001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BTXD001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1</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手持示波器</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BTHP101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BTHP101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1</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万用接线盒</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BTHP102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BTHP102</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1</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补光灯</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Nanguang</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Nanguang</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无线拾音器</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G80-V3</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G80-V3</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直播调音台+话筒</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G8S-P1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G8S-P1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直播高像素手机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P</w:t>
            </w:r>
            <w:r>
              <w:rPr>
                <w:rFonts w:hint="eastAsia" w:ascii="仿宋" w:hAnsi="仿宋" w:eastAsia="仿宋" w:cs="宋体"/>
                <w:kern w:val="0"/>
                <w:sz w:val="22"/>
                <w:szCs w:val="22"/>
                <w:lang w:val="en-US" w:eastAsia="zh-CN"/>
              </w:rPr>
              <w:t>5</w:t>
            </w:r>
            <w:r>
              <w:rPr>
                <w:rFonts w:hint="eastAsia" w:ascii="仿宋" w:hAnsi="仿宋" w:eastAsia="仿宋" w:cs="宋体"/>
                <w:kern w:val="0"/>
                <w:sz w:val="22"/>
                <w:szCs w:val="22"/>
              </w:rPr>
              <w:t>0 Pro</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P</w:t>
            </w:r>
            <w:r>
              <w:rPr>
                <w:rFonts w:hint="eastAsia" w:ascii="仿宋" w:hAnsi="仿宋" w:eastAsia="仿宋" w:cs="宋体"/>
                <w:kern w:val="0"/>
                <w:sz w:val="22"/>
                <w:szCs w:val="22"/>
                <w:lang w:val="en-US" w:eastAsia="zh-CN"/>
              </w:rPr>
              <w:t>5</w:t>
            </w:r>
            <w:r>
              <w:rPr>
                <w:rFonts w:hint="eastAsia" w:ascii="仿宋" w:hAnsi="仿宋" w:eastAsia="仿宋" w:cs="宋体"/>
                <w:kern w:val="0"/>
                <w:sz w:val="22"/>
                <w:szCs w:val="22"/>
              </w:rPr>
              <w:t>0 Pro</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多功能手机落地支架</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Osmo Mobile 6</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Osmo Mobile 6</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高清摄像头</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CP132</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CP132</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2</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手持稳定器</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rPr>
              <w:t xml:space="preserve">SMART </w:t>
            </w:r>
            <w:r>
              <w:rPr>
                <w:rFonts w:hint="eastAsia" w:ascii="仿宋" w:hAnsi="仿宋" w:eastAsia="仿宋" w:cs="宋体"/>
                <w:kern w:val="0"/>
                <w:sz w:val="22"/>
                <w:szCs w:val="22"/>
                <w:lang w:val="en-US" w:eastAsia="zh-CN"/>
              </w:rPr>
              <w:t>X PRO</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 xml:space="preserve">SMART </w:t>
            </w:r>
            <w:r>
              <w:rPr>
                <w:rFonts w:hint="eastAsia" w:ascii="仿宋" w:hAnsi="仿宋" w:eastAsia="仿宋" w:cs="宋体"/>
                <w:kern w:val="0"/>
                <w:sz w:val="22"/>
                <w:szCs w:val="22"/>
                <w:lang w:val="en-US" w:eastAsia="zh-CN"/>
              </w:rPr>
              <w:t>X PRO</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1</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液晶电视</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65E392G</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65E392G</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1</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液晶电视落地支架</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NB (32-75英寸)</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NB (32-75英寸)</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1</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商务高清视频会议摄像头</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CC2900EP</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CC2900EP</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1</w:t>
            </w:r>
          </w:p>
        </w:tc>
      </w:tr>
      <w:tr>
        <w:tblPrEx>
          <w:tblCellMar>
            <w:top w:w="0" w:type="dxa"/>
            <w:left w:w="0" w:type="dxa"/>
            <w:bottom w:w="0" w:type="dxa"/>
            <w:right w:w="0" w:type="dxa"/>
          </w:tblCellMar>
        </w:tblPrEx>
        <w:trPr>
          <w:trHeight w:val="6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绿色抠像背景布</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YC1</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YC1</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1</w:t>
            </w:r>
          </w:p>
        </w:tc>
      </w:tr>
      <w:tr>
        <w:tblPrEx>
          <w:tblCellMar>
            <w:top w:w="0" w:type="dxa"/>
            <w:left w:w="0" w:type="dxa"/>
            <w:bottom w:w="0" w:type="dxa"/>
            <w:right w:w="0" w:type="dxa"/>
          </w:tblCellMar>
        </w:tblPrEx>
        <w:trPr>
          <w:trHeight w:val="66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2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仿宋"/>
                <w:color w:val="000000"/>
                <w:sz w:val="22"/>
                <w:szCs w:val="22"/>
              </w:rPr>
            </w:pPr>
            <w:r>
              <w:rPr>
                <w:rFonts w:hint="eastAsia" w:ascii="仿宋" w:hAnsi="仿宋" w:eastAsia="仿宋" w:cs="宋体"/>
                <w:kern w:val="0"/>
                <w:sz w:val="22"/>
                <w:szCs w:val="22"/>
              </w:rPr>
              <w:t>摄像机三脚架</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VCT-999</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VCT-999</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200" w:lineRule="exact"/>
              <w:jc w:val="center"/>
              <w:rPr>
                <w:rFonts w:ascii="仿宋" w:hAnsi="仿宋" w:eastAsia="仿宋" w:cs="宋体"/>
                <w:kern w:val="0"/>
                <w:sz w:val="22"/>
                <w:szCs w:val="22"/>
                <w:lang w:val="en-US" w:eastAsia="zh-CN" w:bidi="ar-SA"/>
              </w:rPr>
            </w:pPr>
            <w:r>
              <w:rPr>
                <w:rFonts w:hint="eastAsia" w:ascii="仿宋" w:hAnsi="仿宋" w:eastAsia="仿宋" w:cs="宋体"/>
                <w:kern w:val="0"/>
                <w:sz w:val="22"/>
                <w:szCs w:val="22"/>
              </w:rPr>
              <w:t>1</w:t>
            </w:r>
          </w:p>
        </w:tc>
      </w:tr>
    </w:tbl>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2.质量指标</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验收合格率100%。</w:t>
      </w:r>
    </w:p>
    <w:p>
      <w:pPr>
        <w:spacing w:line="360" w:lineRule="auto"/>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3.进度指标</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本项目全部建设内容于2023年12月底前完成。</w:t>
      </w:r>
    </w:p>
    <w:p>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1</w:t>
      </w:r>
      <w:r>
        <w:rPr>
          <w:rFonts w:ascii="仿宋" w:hAnsi="仿宋" w:eastAsia="仿宋" w:cs="仿宋"/>
          <w:b/>
          <w:bCs/>
          <w:sz w:val="28"/>
          <w:szCs w:val="28"/>
        </w:rPr>
        <w:t>.</w:t>
      </w:r>
      <w:r>
        <w:rPr>
          <w:rFonts w:hint="eastAsia" w:ascii="仿宋" w:hAnsi="仿宋" w:eastAsia="仿宋" w:cs="仿宋"/>
          <w:b/>
          <w:bCs/>
          <w:sz w:val="28"/>
          <w:szCs w:val="28"/>
        </w:rPr>
        <w:t>经济效益指标</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每年有200多名学生在实训基地授课，提高教师的专业实践能力，改革教学内容；培养适应经济发展的创新型高技能人才。科学规划，合理安排人力，在人力、时间、费用做到节俭节约，维护成本在可控范围内,达到可以节约资源、维护成本的目的。</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2</w:t>
      </w:r>
      <w:r>
        <w:rPr>
          <w:rFonts w:ascii="仿宋" w:hAnsi="仿宋" w:eastAsia="仿宋" w:cs="仿宋"/>
          <w:b/>
          <w:bCs/>
          <w:sz w:val="28"/>
          <w:szCs w:val="28"/>
        </w:rPr>
        <w:t>.</w:t>
      </w:r>
      <w:r>
        <w:rPr>
          <w:rFonts w:hint="eastAsia" w:ascii="仿宋" w:hAnsi="仿宋" w:eastAsia="仿宋" w:cs="仿宋"/>
          <w:b/>
          <w:bCs/>
          <w:sz w:val="28"/>
          <w:szCs w:val="28"/>
        </w:rPr>
        <w:t>社会效益指标</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项目完成后，可以完成校内专业群学生的培养，教师的培训，传承了工匠精神、选拔了行业人才、锤炼了技术技能、展示了行业风采，提高了技能人才的社会地位和职业荣誉感、获得感、归属感，对推动高技能人才队伍建设，构建适应智能交通运输发展要求的人才工作格局，提供了强有力的人才支撑，可以彰显内生价值和品牌效应。</w:t>
      </w:r>
    </w:p>
    <w:p>
      <w:pPr>
        <w:spacing w:line="60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3</w:t>
      </w:r>
      <w:r>
        <w:rPr>
          <w:rFonts w:ascii="仿宋" w:hAnsi="仿宋" w:eastAsia="仿宋" w:cs="仿宋"/>
          <w:b/>
          <w:bCs/>
          <w:sz w:val="28"/>
          <w:szCs w:val="28"/>
        </w:rPr>
        <w:t>.</w:t>
      </w:r>
      <w:r>
        <w:rPr>
          <w:rFonts w:hint="eastAsia" w:ascii="仿宋" w:hAnsi="仿宋" w:eastAsia="仿宋" w:cs="仿宋"/>
          <w:b/>
          <w:bCs/>
          <w:sz w:val="28"/>
          <w:szCs w:val="28"/>
        </w:rPr>
        <w:t>可持续影响指标</w:t>
      </w:r>
    </w:p>
    <w:p>
      <w:pPr>
        <w:spacing w:line="60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保证实训室开出率达90%以上，建成全功能、多专业、大联合的实训平台，促进学校教育发展、提高学校品牌和知名度、积极参与省、行业、国赛等。</w:t>
      </w:r>
    </w:p>
    <w:p>
      <w:pPr>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60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（一）主要经验做法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1.项目下达后，领导高度重视，落实《项目工作管理办法》，并成立相关项目工作组，对项目工作进行统一组织管理，确保项目工作按照项目计划制定实施方案。全过程对项目工作进行监督管理。</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成立项目工作组，有效推进项目工作。本项目由副校长牵头，交通运输系主任担任项目执行人，年初制定项目推进时间表，按月推进实施；根据《项目工作管理办法》要求，严格管理资金使用情况，规范公开招投标流程，保证资金的依法依规支付。</w:t>
      </w:r>
    </w:p>
    <w:p>
      <w:pPr>
        <w:spacing w:line="60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（二）存在的问题</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本项目严格按照项目管理规定执行，按照时间进度推进，公开招标流程规范，项目档案完整，无相关问题。</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p>
      <w:pPr>
        <w:spacing w:line="600" w:lineRule="exact"/>
        <w:ind w:firstLine="640" w:firstLineChars="200"/>
        <w:rPr>
          <w:rFonts w:ascii="黑体" w:hAnsi="黑体" w:eastAsia="黑体" w:cs="黑体"/>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hMWRjNzk2NzdmZTM0MDI2N2NlMGE2MDNhMzM5ODkifQ=="/>
  </w:docVars>
  <w:rsids>
    <w:rsidRoot w:val="F77F09F4"/>
    <w:rsid w:val="000979F2"/>
    <w:rsid w:val="00104CA3"/>
    <w:rsid w:val="001E01C1"/>
    <w:rsid w:val="00232887"/>
    <w:rsid w:val="00257794"/>
    <w:rsid w:val="00337BA0"/>
    <w:rsid w:val="00354DF1"/>
    <w:rsid w:val="003870F8"/>
    <w:rsid w:val="00392DA5"/>
    <w:rsid w:val="004005E2"/>
    <w:rsid w:val="004565BC"/>
    <w:rsid w:val="004E18F9"/>
    <w:rsid w:val="004E451E"/>
    <w:rsid w:val="0054133B"/>
    <w:rsid w:val="00554859"/>
    <w:rsid w:val="005D7873"/>
    <w:rsid w:val="005F29E9"/>
    <w:rsid w:val="00645366"/>
    <w:rsid w:val="006631EB"/>
    <w:rsid w:val="006903DA"/>
    <w:rsid w:val="006D62D8"/>
    <w:rsid w:val="006E47A4"/>
    <w:rsid w:val="00737FD6"/>
    <w:rsid w:val="00746F98"/>
    <w:rsid w:val="007921F4"/>
    <w:rsid w:val="007D34BF"/>
    <w:rsid w:val="008D7777"/>
    <w:rsid w:val="00972C29"/>
    <w:rsid w:val="0099587E"/>
    <w:rsid w:val="009B62AC"/>
    <w:rsid w:val="00A61A72"/>
    <w:rsid w:val="00A97A66"/>
    <w:rsid w:val="00B32318"/>
    <w:rsid w:val="00BF19CC"/>
    <w:rsid w:val="00C62B3A"/>
    <w:rsid w:val="00CE21FD"/>
    <w:rsid w:val="00EA51C9"/>
    <w:rsid w:val="00EE01A1"/>
    <w:rsid w:val="00F0051E"/>
    <w:rsid w:val="00F930B6"/>
    <w:rsid w:val="00FB0400"/>
    <w:rsid w:val="028A57EA"/>
    <w:rsid w:val="054A6B03"/>
    <w:rsid w:val="0ADC1EE2"/>
    <w:rsid w:val="15CB6811"/>
    <w:rsid w:val="16842B1B"/>
    <w:rsid w:val="17CD25AC"/>
    <w:rsid w:val="1A3A414A"/>
    <w:rsid w:val="1D5469DF"/>
    <w:rsid w:val="22572B2E"/>
    <w:rsid w:val="22621537"/>
    <w:rsid w:val="22DA45FF"/>
    <w:rsid w:val="2A2E42BA"/>
    <w:rsid w:val="2DAE1819"/>
    <w:rsid w:val="318100A5"/>
    <w:rsid w:val="37173543"/>
    <w:rsid w:val="38DD6D45"/>
    <w:rsid w:val="39A61BEF"/>
    <w:rsid w:val="3FF76880"/>
    <w:rsid w:val="425B077C"/>
    <w:rsid w:val="4314762D"/>
    <w:rsid w:val="43E3515F"/>
    <w:rsid w:val="43F45F30"/>
    <w:rsid w:val="478F2992"/>
    <w:rsid w:val="478F4216"/>
    <w:rsid w:val="4D13750D"/>
    <w:rsid w:val="4D5825B8"/>
    <w:rsid w:val="4D9E53FC"/>
    <w:rsid w:val="51D05795"/>
    <w:rsid w:val="527E35D9"/>
    <w:rsid w:val="53857FC2"/>
    <w:rsid w:val="57AB12B8"/>
    <w:rsid w:val="5AFA7AC4"/>
    <w:rsid w:val="5D5A06EA"/>
    <w:rsid w:val="5D7C44D5"/>
    <w:rsid w:val="64811B5C"/>
    <w:rsid w:val="6741720D"/>
    <w:rsid w:val="68F822E6"/>
    <w:rsid w:val="6B8E44EF"/>
    <w:rsid w:val="6C8B742F"/>
    <w:rsid w:val="75AD4E94"/>
    <w:rsid w:val="776F857E"/>
    <w:rsid w:val="77DE1022"/>
    <w:rsid w:val="7810603F"/>
    <w:rsid w:val="7AB7FF50"/>
    <w:rsid w:val="7BFEB0DB"/>
    <w:rsid w:val="7D7C74E1"/>
    <w:rsid w:val="7F747F9E"/>
    <w:rsid w:val="CEFD3F3D"/>
    <w:rsid w:val="EA3F77F2"/>
    <w:rsid w:val="EEFE5989"/>
    <w:rsid w:val="EFCF3EAE"/>
    <w:rsid w:val="F1F7BD99"/>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0"/>
    <w:pPr>
      <w:jc w:val="left"/>
    </w:pPr>
  </w:style>
  <w:style w:type="paragraph" w:styleId="4">
    <w:name w:val="Body Text"/>
    <w:basedOn w:val="1"/>
    <w:next w:val="1"/>
    <w:qFormat/>
    <w:uiPriority w:val="0"/>
    <w:rPr>
      <w:sz w:val="24"/>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line="360" w:lineRule="auto"/>
      <w:jc w:val="left"/>
    </w:pPr>
    <w:rPr>
      <w:rFonts w:ascii="宋体" w:hAnsi="宋体" w:cs="宋体"/>
      <w:kern w:val="0"/>
      <w:sz w:val="24"/>
    </w:rPr>
  </w:style>
  <w:style w:type="paragraph" w:styleId="8">
    <w:name w:val="Body Text First Indent"/>
    <w:basedOn w:val="4"/>
    <w:next w:val="1"/>
    <w:qFormat/>
    <w:uiPriority w:val="0"/>
    <w:pPr>
      <w:ind w:firstLine="420" w:firstLineChars="100"/>
    </w:pPr>
  </w:style>
  <w:style w:type="paragraph" w:customStyle="1" w:styleId="11">
    <w:name w:val="列出段落1"/>
    <w:basedOn w:val="1"/>
    <w:qFormat/>
    <w:uiPriority w:val="34"/>
    <w:pPr>
      <w:ind w:firstLine="420" w:firstLineChars="200"/>
    </w:pPr>
    <w:rPr>
      <w:rFonts w:ascii="Calibri" w:hAnsi="Calibri" w:cs="黑体"/>
      <w:szCs w:val="22"/>
    </w:rPr>
  </w:style>
  <w:style w:type="paragraph" w:customStyle="1" w:styleId="12">
    <w:name w:val="_Style 211"/>
    <w:basedOn w:val="1"/>
    <w:next w:val="13"/>
    <w:qFormat/>
    <w:uiPriority w:val="34"/>
    <w:pPr>
      <w:ind w:firstLine="420" w:firstLineChars="200"/>
    </w:pPr>
  </w:style>
  <w:style w:type="paragraph" w:styleId="13">
    <w:name w:val="List Paragraph"/>
    <w:basedOn w:val="1"/>
    <w:semiHidden/>
    <w:unhideWhenUsed/>
    <w:qFormat/>
    <w:uiPriority w:val="99"/>
    <w:pPr>
      <w:ind w:firstLine="420" w:firstLineChars="200"/>
    </w:pPr>
  </w:style>
  <w:style w:type="paragraph" w:styleId="14">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19</Pages>
  <Words>1274</Words>
  <Characters>7263</Characters>
  <Lines>60</Lines>
  <Paragraphs>17</Paragraphs>
  <TotalTime>13</TotalTime>
  <ScaleCrop>false</ScaleCrop>
  <LinksUpToDate>false</LinksUpToDate>
  <CharactersWithSpaces>8520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2024-05-15T04:58:00Z</dcterms:created>
  <dc:creator>user</dc:creator>
  <cp:lastModifiedBy>86134</cp:lastModifiedBy>
  <cp:lastPrinted>2022-03-25T02:01:00Z</cp:lastPrinted>
  <dcterms:modified xsi:type="dcterms:W3CDTF">2024-05-16T08:44:24Z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E62632C88808A50B3B114466E4F4B621_43</vt:lpwstr>
  </property>
</Properties>
</file>