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F92" w:rsidRPr="00D32199" w:rsidRDefault="001B27D7">
      <w:pPr>
        <w:pStyle w:val="a3"/>
        <w:spacing w:line="458" w:lineRule="auto"/>
        <w:rPr>
          <w:rFonts w:ascii="黑体" w:eastAsia="黑体" w:hAnsi="黑体"/>
          <w:b/>
          <w:sz w:val="31"/>
          <w:szCs w:val="31"/>
          <w:lang w:eastAsia="zh-CN"/>
        </w:rPr>
      </w:pPr>
      <w:r w:rsidRPr="00D32199">
        <w:rPr>
          <w:rFonts w:ascii="黑体" w:eastAsia="黑体" w:hAnsi="黑体" w:cs="宋体" w:hint="eastAsia"/>
          <w:b/>
          <w:sz w:val="31"/>
          <w:szCs w:val="31"/>
          <w:lang w:eastAsia="zh-CN"/>
        </w:rPr>
        <w:t>附件2</w:t>
      </w:r>
    </w:p>
    <w:p w:rsidR="00E90B86" w:rsidRDefault="00E90B86" w:rsidP="001B27D7">
      <w:pPr>
        <w:spacing w:before="143" w:line="219" w:lineRule="auto"/>
        <w:jc w:val="center"/>
        <w:rPr>
          <w:rFonts w:ascii="宋体" w:eastAsia="宋体" w:hAnsi="宋体" w:cs="宋体"/>
          <w:b/>
          <w:bCs/>
          <w:spacing w:val="-3"/>
          <w:sz w:val="44"/>
          <w:szCs w:val="44"/>
          <w:lang w:eastAsia="zh-CN"/>
        </w:rPr>
      </w:pPr>
    </w:p>
    <w:p w:rsidR="005F2F92" w:rsidRDefault="001B27D7" w:rsidP="001B27D7">
      <w:pPr>
        <w:spacing w:before="143" w:line="219" w:lineRule="auto"/>
        <w:jc w:val="center"/>
        <w:rPr>
          <w:rFonts w:ascii="宋体" w:eastAsia="宋体" w:hAnsi="宋体" w:cs="宋体"/>
          <w:sz w:val="44"/>
          <w:szCs w:val="44"/>
          <w:lang w:eastAsia="zh-CN"/>
        </w:rPr>
      </w:pPr>
      <w:r>
        <w:rPr>
          <w:rFonts w:ascii="宋体" w:eastAsia="宋体" w:hAnsi="宋体" w:cs="宋体" w:hint="eastAsia"/>
          <w:b/>
          <w:bCs/>
          <w:spacing w:val="-3"/>
          <w:sz w:val="44"/>
          <w:szCs w:val="44"/>
          <w:lang w:eastAsia="zh-CN"/>
        </w:rPr>
        <w:t>北京市</w:t>
      </w:r>
      <w:r w:rsidR="00EA4D65">
        <w:rPr>
          <w:rFonts w:ascii="宋体" w:eastAsia="宋体" w:hAnsi="宋体" w:cs="宋体"/>
          <w:b/>
          <w:bCs/>
          <w:spacing w:val="-3"/>
          <w:sz w:val="44"/>
          <w:szCs w:val="44"/>
          <w:lang w:eastAsia="zh-CN"/>
        </w:rPr>
        <w:t>生态环境保护督察整改情况公示表</w:t>
      </w:r>
    </w:p>
    <w:p w:rsidR="005F2F92" w:rsidRDefault="005F2F92">
      <w:pPr>
        <w:spacing w:before="178" w:line="219" w:lineRule="auto"/>
        <w:ind w:left="3145"/>
        <w:rPr>
          <w:rFonts w:ascii="宋体" w:eastAsia="宋体" w:hAnsi="宋体" w:cs="宋体"/>
          <w:sz w:val="29"/>
          <w:szCs w:val="29"/>
          <w:lang w:eastAsia="zh-CN"/>
        </w:rPr>
      </w:pPr>
    </w:p>
    <w:p w:rsidR="005F2F92" w:rsidRDefault="005F2F92">
      <w:pPr>
        <w:spacing w:line="18" w:lineRule="exact"/>
        <w:rPr>
          <w:lang w:eastAsia="zh-CN"/>
        </w:rPr>
      </w:pPr>
    </w:p>
    <w:tbl>
      <w:tblPr>
        <w:tblStyle w:val="TableNormal"/>
        <w:tblW w:w="85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3"/>
        <w:gridCol w:w="1238"/>
        <w:gridCol w:w="5219"/>
      </w:tblGrid>
      <w:tr w:rsidR="005F2F92" w:rsidTr="008A1DE2">
        <w:trPr>
          <w:trHeight w:val="594"/>
          <w:jc w:val="center"/>
        </w:trPr>
        <w:tc>
          <w:tcPr>
            <w:tcW w:w="2083" w:type="dxa"/>
            <w:vMerge w:val="restart"/>
            <w:tcBorders>
              <w:bottom w:val="nil"/>
            </w:tcBorders>
            <w:vAlign w:val="center"/>
          </w:tcPr>
          <w:p w:rsidR="005F2F92" w:rsidRDefault="00EA4D65">
            <w:pPr>
              <w:spacing w:before="78" w:line="219" w:lineRule="auto"/>
              <w:ind w:left="555"/>
              <w:rPr>
                <w:rFonts w:ascii="宋体" w:eastAsia="宋体" w:hAnsi="宋体" w:cs="宋体"/>
                <w:sz w:val="24"/>
                <w:szCs w:val="24"/>
              </w:rPr>
            </w:pPr>
            <w:r>
              <w:rPr>
                <w:rFonts w:ascii="宋体" w:eastAsia="宋体" w:hAnsi="宋体" w:cs="宋体"/>
                <w:spacing w:val="2"/>
                <w:sz w:val="24"/>
                <w:szCs w:val="24"/>
              </w:rPr>
              <w:t>整改任务</w:t>
            </w:r>
          </w:p>
        </w:tc>
        <w:tc>
          <w:tcPr>
            <w:tcW w:w="1238" w:type="dxa"/>
            <w:vAlign w:val="center"/>
          </w:tcPr>
          <w:p w:rsidR="005F2F92" w:rsidRDefault="00EA4D65">
            <w:pPr>
              <w:spacing w:before="185" w:line="219" w:lineRule="auto"/>
              <w:ind w:left="132"/>
              <w:rPr>
                <w:rFonts w:ascii="宋体" w:eastAsia="宋体" w:hAnsi="宋体" w:cs="宋体"/>
                <w:sz w:val="24"/>
                <w:szCs w:val="24"/>
              </w:rPr>
            </w:pPr>
            <w:r>
              <w:rPr>
                <w:rFonts w:ascii="宋体" w:eastAsia="宋体" w:hAnsi="宋体" w:cs="宋体"/>
                <w:spacing w:val="3"/>
                <w:sz w:val="24"/>
                <w:szCs w:val="24"/>
              </w:rPr>
              <w:t>任务编号</w:t>
            </w:r>
          </w:p>
        </w:tc>
        <w:tc>
          <w:tcPr>
            <w:tcW w:w="5219" w:type="dxa"/>
            <w:vAlign w:val="center"/>
          </w:tcPr>
          <w:p w:rsidR="005F2F92" w:rsidRDefault="008A1DE2" w:rsidP="008A1DE2">
            <w:pPr>
              <w:spacing w:before="185" w:line="219"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祥龙公司整改方案第</w:t>
            </w:r>
            <w:r w:rsidR="00B2394F">
              <w:rPr>
                <w:rFonts w:ascii="宋体" w:eastAsia="宋体" w:hAnsi="宋体" w:cs="宋体" w:hint="eastAsia"/>
                <w:sz w:val="24"/>
                <w:szCs w:val="24"/>
                <w:lang w:eastAsia="zh-CN"/>
              </w:rPr>
              <w:t>十</w:t>
            </w:r>
            <w:r w:rsidR="00CD7E4E">
              <w:rPr>
                <w:rFonts w:ascii="宋体" w:eastAsia="宋体" w:hAnsi="宋体" w:cs="宋体" w:hint="eastAsia"/>
                <w:sz w:val="24"/>
                <w:szCs w:val="24"/>
                <w:lang w:eastAsia="zh-CN"/>
              </w:rPr>
              <w:t>四</w:t>
            </w:r>
            <w:r>
              <w:rPr>
                <w:rFonts w:ascii="宋体" w:eastAsia="宋体" w:hAnsi="宋体" w:cs="宋体" w:hint="eastAsia"/>
                <w:sz w:val="24"/>
                <w:szCs w:val="24"/>
                <w:lang w:eastAsia="zh-CN"/>
              </w:rPr>
              <w:t>项</w:t>
            </w:r>
          </w:p>
        </w:tc>
      </w:tr>
      <w:tr w:rsidR="005F2F92" w:rsidTr="008A1DE2">
        <w:trPr>
          <w:trHeight w:val="599"/>
          <w:jc w:val="center"/>
        </w:trPr>
        <w:tc>
          <w:tcPr>
            <w:tcW w:w="2083" w:type="dxa"/>
            <w:vMerge/>
            <w:tcBorders>
              <w:top w:val="nil"/>
            </w:tcBorders>
            <w:vAlign w:val="center"/>
          </w:tcPr>
          <w:p w:rsidR="005F2F92" w:rsidRDefault="005F2F92">
            <w:pPr>
              <w:pStyle w:val="TableText"/>
              <w:rPr>
                <w:lang w:eastAsia="zh-CN"/>
              </w:rPr>
            </w:pPr>
          </w:p>
        </w:tc>
        <w:tc>
          <w:tcPr>
            <w:tcW w:w="1238" w:type="dxa"/>
            <w:vAlign w:val="center"/>
          </w:tcPr>
          <w:p w:rsidR="005F2F92" w:rsidRDefault="00EA4D65">
            <w:pPr>
              <w:spacing w:before="181" w:line="219" w:lineRule="auto"/>
              <w:ind w:left="132"/>
              <w:rPr>
                <w:rFonts w:ascii="宋体" w:eastAsia="宋体" w:hAnsi="宋体" w:cs="宋体"/>
                <w:sz w:val="24"/>
                <w:szCs w:val="24"/>
                <w:lang w:eastAsia="zh-CN"/>
              </w:rPr>
            </w:pPr>
            <w:r w:rsidRPr="008A1DE2">
              <w:rPr>
                <w:rFonts w:ascii="宋体" w:eastAsia="宋体" w:hAnsi="宋体" w:cs="宋体"/>
                <w:sz w:val="24"/>
                <w:szCs w:val="24"/>
                <w:lang w:eastAsia="zh-CN"/>
              </w:rPr>
              <w:t>问题概述</w:t>
            </w:r>
          </w:p>
        </w:tc>
        <w:tc>
          <w:tcPr>
            <w:tcW w:w="5219" w:type="dxa"/>
            <w:vAlign w:val="center"/>
          </w:tcPr>
          <w:p w:rsidR="005F2F92" w:rsidRPr="00B2394F" w:rsidRDefault="00CD7E4E" w:rsidP="008A1DE2">
            <w:pPr>
              <w:pStyle w:val="TableText"/>
              <w:ind w:firstLineChars="200" w:firstLine="480"/>
              <w:rPr>
                <w:rFonts w:ascii="宋体" w:eastAsia="宋体" w:hAnsi="宋体" w:cs="宋体"/>
                <w:sz w:val="24"/>
                <w:szCs w:val="24"/>
                <w:lang w:eastAsia="zh-CN"/>
              </w:rPr>
            </w:pPr>
            <w:r w:rsidRPr="00CD7E4E">
              <w:rPr>
                <w:rFonts w:ascii="宋体" w:eastAsia="宋体" w:hAnsi="宋体" w:cs="宋体" w:hint="eastAsia"/>
                <w:sz w:val="24"/>
                <w:szCs w:val="24"/>
                <w:lang w:eastAsia="zh-CN"/>
              </w:rPr>
              <w:t>挥发性有机物</w:t>
            </w:r>
            <w:r w:rsidR="00B94D39">
              <w:rPr>
                <w:rFonts w:ascii="宋体" w:eastAsia="宋体" w:hAnsi="宋体" w:cs="宋体" w:hint="eastAsia"/>
                <w:sz w:val="24"/>
                <w:szCs w:val="24"/>
                <w:lang w:eastAsia="zh-CN"/>
              </w:rPr>
              <w:t>防治</w:t>
            </w:r>
            <w:r w:rsidRPr="00CD7E4E">
              <w:rPr>
                <w:rFonts w:ascii="宋体" w:eastAsia="宋体" w:hAnsi="宋体" w:cs="宋体" w:hint="eastAsia"/>
                <w:sz w:val="24"/>
                <w:szCs w:val="24"/>
                <w:lang w:eastAsia="zh-CN"/>
              </w:rPr>
              <w:t>存在短板。博瑞集团对挥发性有机物日常监管不严，2021年以来除二分公司外还有2家分公司因治理设施不正常运行受到处罚，但未引起重视，至督察时该类问题仍然存在。公司下属10个汽修园中有7个</w:t>
            </w:r>
            <w:bookmarkStart w:id="0" w:name="_GoBack"/>
            <w:bookmarkEnd w:id="0"/>
            <w:r w:rsidRPr="00CD7E4E">
              <w:rPr>
                <w:rFonts w:ascii="宋体" w:eastAsia="宋体" w:hAnsi="宋体" w:cs="宋体" w:hint="eastAsia"/>
                <w:sz w:val="24"/>
                <w:szCs w:val="24"/>
                <w:lang w:eastAsia="zh-CN"/>
              </w:rPr>
              <w:t>存在物料未密闭贮存、废物敞口弃置，3个存在违规调漆和喷漆问题，挥发性有机物未有效收集处理，无组织排放问题普遍。</w:t>
            </w:r>
          </w:p>
        </w:tc>
      </w:tr>
      <w:tr w:rsidR="005F2F92" w:rsidTr="008A1DE2">
        <w:trPr>
          <w:trHeight w:val="939"/>
          <w:jc w:val="center"/>
        </w:trPr>
        <w:tc>
          <w:tcPr>
            <w:tcW w:w="2083" w:type="dxa"/>
            <w:vAlign w:val="center"/>
          </w:tcPr>
          <w:p w:rsidR="005F2F92" w:rsidRDefault="00EA4D65">
            <w:pPr>
              <w:spacing w:before="78" w:line="219" w:lineRule="auto"/>
              <w:ind w:left="555"/>
              <w:rPr>
                <w:rFonts w:ascii="宋体" w:eastAsia="宋体" w:hAnsi="宋体" w:cs="宋体"/>
                <w:sz w:val="24"/>
                <w:szCs w:val="24"/>
              </w:rPr>
            </w:pPr>
            <w:r>
              <w:rPr>
                <w:rFonts w:ascii="宋体" w:eastAsia="宋体" w:hAnsi="宋体" w:cs="宋体"/>
                <w:spacing w:val="2"/>
                <w:sz w:val="24"/>
                <w:szCs w:val="24"/>
              </w:rPr>
              <w:t>责任单位</w:t>
            </w:r>
          </w:p>
        </w:tc>
        <w:tc>
          <w:tcPr>
            <w:tcW w:w="6457" w:type="dxa"/>
            <w:gridSpan w:val="2"/>
            <w:vAlign w:val="center"/>
          </w:tcPr>
          <w:p w:rsidR="005F2F92" w:rsidRPr="008A1DE2" w:rsidRDefault="00B2394F">
            <w:pPr>
              <w:pStyle w:val="TableText"/>
              <w:rPr>
                <w:rFonts w:ascii="宋体" w:eastAsia="宋体" w:hAnsi="宋体" w:cs="宋体"/>
                <w:sz w:val="24"/>
                <w:szCs w:val="24"/>
                <w:lang w:eastAsia="zh-CN"/>
              </w:rPr>
            </w:pPr>
            <w:r w:rsidRPr="00B2394F">
              <w:rPr>
                <w:rFonts w:ascii="宋体" w:eastAsia="宋体" w:hAnsi="宋体" w:cs="宋体" w:hint="eastAsia"/>
                <w:sz w:val="24"/>
                <w:szCs w:val="24"/>
                <w:lang w:eastAsia="zh-CN"/>
              </w:rPr>
              <w:t>祥龙博瑞集团；祥龙公司安全环保部</w:t>
            </w:r>
          </w:p>
        </w:tc>
      </w:tr>
      <w:tr w:rsidR="005F2F92" w:rsidTr="008A1DE2">
        <w:trPr>
          <w:trHeight w:val="849"/>
          <w:jc w:val="center"/>
        </w:trPr>
        <w:tc>
          <w:tcPr>
            <w:tcW w:w="2083" w:type="dxa"/>
            <w:vAlign w:val="center"/>
          </w:tcPr>
          <w:p w:rsidR="005F2F92" w:rsidRDefault="00EA4D65">
            <w:pPr>
              <w:spacing w:before="313" w:line="219" w:lineRule="auto"/>
              <w:ind w:left="555"/>
              <w:rPr>
                <w:rFonts w:ascii="宋体" w:eastAsia="宋体" w:hAnsi="宋体" w:cs="宋体"/>
                <w:sz w:val="24"/>
                <w:szCs w:val="24"/>
              </w:rPr>
            </w:pPr>
            <w:r>
              <w:rPr>
                <w:rFonts w:ascii="宋体" w:eastAsia="宋体" w:hAnsi="宋体" w:cs="宋体"/>
                <w:spacing w:val="-2"/>
                <w:sz w:val="24"/>
                <w:szCs w:val="24"/>
              </w:rPr>
              <w:t>整改目标</w:t>
            </w:r>
          </w:p>
        </w:tc>
        <w:tc>
          <w:tcPr>
            <w:tcW w:w="6457" w:type="dxa"/>
            <w:gridSpan w:val="2"/>
            <w:vAlign w:val="center"/>
          </w:tcPr>
          <w:p w:rsidR="005F2F92" w:rsidRPr="00C6679E" w:rsidRDefault="00CD7E4E">
            <w:pPr>
              <w:pStyle w:val="TableText"/>
              <w:rPr>
                <w:rFonts w:ascii="宋体" w:eastAsia="宋体" w:hAnsi="宋体" w:cs="宋体"/>
                <w:sz w:val="24"/>
                <w:szCs w:val="24"/>
                <w:lang w:eastAsia="zh-CN"/>
              </w:rPr>
            </w:pPr>
            <w:r w:rsidRPr="00CD7E4E">
              <w:rPr>
                <w:rFonts w:ascii="宋体" w:eastAsia="宋体" w:hAnsi="宋体" w:cs="宋体" w:hint="eastAsia"/>
                <w:sz w:val="24"/>
                <w:szCs w:val="24"/>
                <w:lang w:eastAsia="zh-CN"/>
              </w:rPr>
              <w:t>落实挥发性有机物管理规定，加强对挥发性有机物的日常管理。</w:t>
            </w:r>
          </w:p>
        </w:tc>
      </w:tr>
      <w:tr w:rsidR="005F2F92" w:rsidTr="008A1DE2">
        <w:trPr>
          <w:trHeight w:val="1958"/>
          <w:jc w:val="center"/>
        </w:trPr>
        <w:tc>
          <w:tcPr>
            <w:tcW w:w="2083" w:type="dxa"/>
            <w:vAlign w:val="center"/>
          </w:tcPr>
          <w:p w:rsidR="005F2F92" w:rsidRDefault="00EA4D65">
            <w:pPr>
              <w:spacing w:before="78" w:line="219" w:lineRule="auto"/>
              <w:ind w:left="555"/>
              <w:rPr>
                <w:rFonts w:ascii="宋体" w:eastAsia="宋体" w:hAnsi="宋体" w:cs="宋体"/>
                <w:sz w:val="24"/>
                <w:szCs w:val="24"/>
              </w:rPr>
            </w:pPr>
            <w:r>
              <w:rPr>
                <w:rFonts w:ascii="宋体" w:eastAsia="宋体" w:hAnsi="宋体" w:cs="宋体"/>
                <w:spacing w:val="2"/>
                <w:sz w:val="24"/>
                <w:szCs w:val="24"/>
              </w:rPr>
              <w:t>整改措施</w:t>
            </w:r>
          </w:p>
        </w:tc>
        <w:tc>
          <w:tcPr>
            <w:tcW w:w="6457" w:type="dxa"/>
            <w:gridSpan w:val="2"/>
            <w:vAlign w:val="center"/>
          </w:tcPr>
          <w:p w:rsidR="00CD7E4E" w:rsidRPr="00CD7E4E" w:rsidRDefault="00CD7E4E" w:rsidP="00CD7E4E">
            <w:pPr>
              <w:spacing w:line="300" w:lineRule="exact"/>
              <w:ind w:firstLineChars="200" w:firstLine="480"/>
              <w:rPr>
                <w:rFonts w:ascii="宋体" w:eastAsia="宋体" w:hAnsi="宋体" w:cs="宋体"/>
                <w:sz w:val="24"/>
                <w:szCs w:val="24"/>
                <w:lang w:eastAsia="zh-CN"/>
              </w:rPr>
            </w:pPr>
            <w:r w:rsidRPr="00CD7E4E">
              <w:rPr>
                <w:rFonts w:ascii="宋体" w:eastAsia="宋体" w:hAnsi="宋体" w:cs="宋体" w:hint="eastAsia"/>
                <w:sz w:val="24"/>
                <w:szCs w:val="24"/>
                <w:lang w:eastAsia="zh-CN"/>
              </w:rPr>
              <w:t>（一）祥龙博瑞集团对三家公司治理设施进行了检修，恢复运行，确保挥发性有机物有效收集处理。（责任单位：祥龙博瑞集团）</w:t>
            </w:r>
          </w:p>
          <w:p w:rsidR="00CD7E4E" w:rsidRPr="00CD7E4E" w:rsidRDefault="00CD7E4E" w:rsidP="00CD7E4E">
            <w:pPr>
              <w:spacing w:line="300" w:lineRule="exact"/>
              <w:ind w:firstLineChars="200" w:firstLine="480"/>
              <w:rPr>
                <w:rFonts w:ascii="宋体" w:eastAsia="宋体" w:hAnsi="宋体" w:cs="宋体"/>
                <w:sz w:val="24"/>
                <w:szCs w:val="24"/>
                <w:lang w:eastAsia="zh-CN"/>
              </w:rPr>
            </w:pPr>
            <w:r w:rsidRPr="00CD7E4E">
              <w:rPr>
                <w:rFonts w:ascii="宋体" w:eastAsia="宋体" w:hAnsi="宋体" w:cs="宋体" w:hint="eastAsia"/>
                <w:sz w:val="24"/>
                <w:szCs w:val="24"/>
                <w:lang w:eastAsia="zh-CN"/>
              </w:rPr>
              <w:t>（二）组织相关人员对公司下属7个汽修园的物料进行密闭贮存，废弃物的瓶罐均盖好保持封闭，使用过程中随取随开，用后应及时密闭，以减少挥发，落实密闭存放管理规定，对调漆和喷漆产生的挥发性有机物，及时进行整改。（责任单位：祥龙博瑞集团）</w:t>
            </w:r>
          </w:p>
          <w:p w:rsidR="00CD7E4E" w:rsidRPr="00CD7E4E" w:rsidRDefault="00CD7E4E" w:rsidP="00CD7E4E">
            <w:pPr>
              <w:spacing w:line="300" w:lineRule="exact"/>
              <w:ind w:firstLineChars="200" w:firstLine="480"/>
              <w:rPr>
                <w:rFonts w:ascii="宋体" w:eastAsia="宋体" w:hAnsi="宋体" w:cs="宋体"/>
                <w:sz w:val="24"/>
                <w:szCs w:val="24"/>
                <w:lang w:eastAsia="zh-CN"/>
              </w:rPr>
            </w:pPr>
            <w:r w:rsidRPr="00CD7E4E">
              <w:rPr>
                <w:rFonts w:ascii="宋体" w:eastAsia="宋体" w:hAnsi="宋体" w:cs="宋体" w:hint="eastAsia"/>
                <w:sz w:val="24"/>
                <w:szCs w:val="24"/>
                <w:lang w:eastAsia="zh-CN"/>
              </w:rPr>
              <w:t>（三）制定《祥龙博瑞集团挥发性有机物管理规范》，并落实落地。（责任单位：祥龙博瑞集团）</w:t>
            </w:r>
          </w:p>
          <w:p w:rsidR="005F2F92" w:rsidRPr="00C6679E" w:rsidRDefault="00CD7E4E" w:rsidP="00CD7E4E">
            <w:pPr>
              <w:pStyle w:val="TableText"/>
              <w:ind w:firstLineChars="200" w:firstLine="480"/>
              <w:rPr>
                <w:rFonts w:ascii="宋体" w:eastAsia="宋体" w:hAnsi="宋体" w:cs="宋体"/>
                <w:sz w:val="24"/>
                <w:szCs w:val="24"/>
                <w:lang w:eastAsia="zh-CN"/>
              </w:rPr>
            </w:pPr>
            <w:r w:rsidRPr="00CD7E4E">
              <w:rPr>
                <w:rFonts w:ascii="宋体" w:eastAsia="宋体" w:hAnsi="宋体" w:cs="宋体" w:hint="eastAsia"/>
                <w:sz w:val="24"/>
                <w:szCs w:val="24"/>
                <w:lang w:eastAsia="zh-CN"/>
              </w:rPr>
              <w:t>（四）祥龙公司安全环保部针对挥发性有机物管理，加强监督检查。（责任单位：祥龙公司安全环保部；祥龙博瑞集团）</w:t>
            </w:r>
          </w:p>
        </w:tc>
      </w:tr>
      <w:tr w:rsidR="005F2F92" w:rsidTr="008A1DE2">
        <w:trPr>
          <w:trHeight w:val="2468"/>
          <w:jc w:val="center"/>
        </w:trPr>
        <w:tc>
          <w:tcPr>
            <w:tcW w:w="2083" w:type="dxa"/>
            <w:vAlign w:val="center"/>
          </w:tcPr>
          <w:p w:rsidR="005F2F92" w:rsidRDefault="00EA4D65">
            <w:pPr>
              <w:spacing w:before="78" w:line="242" w:lineRule="auto"/>
              <w:ind w:left="675" w:right="302" w:hanging="360"/>
              <w:rPr>
                <w:rFonts w:ascii="宋体" w:eastAsia="宋体" w:hAnsi="宋体" w:cs="宋体"/>
                <w:sz w:val="24"/>
                <w:szCs w:val="24"/>
              </w:rPr>
            </w:pPr>
            <w:r>
              <w:rPr>
                <w:rFonts w:ascii="宋体" w:eastAsia="宋体" w:hAnsi="宋体" w:cs="宋体"/>
                <w:spacing w:val="2"/>
                <w:sz w:val="24"/>
                <w:szCs w:val="24"/>
              </w:rPr>
              <w:lastRenderedPageBreak/>
              <w:t xml:space="preserve">整改主要工作 </w:t>
            </w:r>
            <w:r>
              <w:rPr>
                <w:rFonts w:ascii="宋体" w:eastAsia="宋体" w:hAnsi="宋体" w:cs="宋体"/>
                <w:spacing w:val="-2"/>
                <w:sz w:val="24"/>
                <w:szCs w:val="24"/>
              </w:rPr>
              <w:t>及成效</w:t>
            </w:r>
          </w:p>
        </w:tc>
        <w:tc>
          <w:tcPr>
            <w:tcW w:w="6457" w:type="dxa"/>
            <w:gridSpan w:val="2"/>
            <w:vAlign w:val="center"/>
          </w:tcPr>
          <w:p w:rsidR="00CD7E4E" w:rsidRPr="00CD7E4E" w:rsidRDefault="00695A5A" w:rsidP="00CD7E4E">
            <w:pPr>
              <w:spacing w:line="3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（一）</w:t>
            </w:r>
            <w:r w:rsidR="00CD7E4E" w:rsidRPr="00CD7E4E">
              <w:rPr>
                <w:rFonts w:ascii="宋体" w:eastAsia="宋体" w:hAnsi="宋体" w:cs="宋体" w:hint="eastAsia"/>
                <w:sz w:val="24"/>
                <w:szCs w:val="24"/>
                <w:lang w:eastAsia="zh-CN"/>
              </w:rPr>
              <w:t>祥龙博瑞集团二分公司、三分公司、九分公司及时对设施进行修复，恢复运行，确保挥发性有机物有效收集处理。</w:t>
            </w:r>
          </w:p>
          <w:p w:rsidR="00CD7E4E" w:rsidRPr="00CD7E4E" w:rsidRDefault="00695A5A" w:rsidP="00CD7E4E">
            <w:pPr>
              <w:spacing w:line="3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（二）</w:t>
            </w:r>
            <w:r w:rsidR="00CD7E4E" w:rsidRPr="00CD7E4E">
              <w:rPr>
                <w:rFonts w:ascii="宋体" w:eastAsia="宋体" w:hAnsi="宋体" w:cs="宋体" w:hint="eastAsia"/>
                <w:sz w:val="24"/>
                <w:szCs w:val="24"/>
                <w:lang w:eastAsia="zh-CN"/>
              </w:rPr>
              <w:t>对存在“未密闭贮存”问题的各单位在发现该问题后立即做出整改，对物料进行密闭贮存，废弃物的瓶罐均盖好保持封闭，使用过程中随取随开，用后应及时密闭，以减少挥发；落实挥发性有机物收集操作规范的相关要求；祥龙博瑞集团二分公司东坝园区、九棵树园区、九分公司三个园区对违规作业人员进行现场批评教育及环保相关培训，严禁违规作业。</w:t>
            </w:r>
          </w:p>
          <w:p w:rsidR="00CD7E4E" w:rsidRPr="00CD7E4E" w:rsidRDefault="00695A5A" w:rsidP="00CD7E4E">
            <w:pPr>
              <w:spacing w:line="3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（三）</w:t>
            </w:r>
            <w:r w:rsidR="00CD7E4E" w:rsidRPr="00CD7E4E">
              <w:rPr>
                <w:rFonts w:ascii="宋体" w:eastAsia="宋体" w:hAnsi="宋体" w:cs="宋体" w:hint="eastAsia"/>
                <w:sz w:val="24"/>
                <w:szCs w:val="24"/>
                <w:lang w:eastAsia="zh-CN"/>
              </w:rPr>
              <w:t>祥龙博瑞集团制定《祥龙博瑞集团挥发性有机物管理规范》，并落实落地。</w:t>
            </w:r>
          </w:p>
          <w:p w:rsidR="005F2F92" w:rsidRPr="00B2394F" w:rsidRDefault="00695A5A" w:rsidP="00CD7E4E">
            <w:pPr>
              <w:spacing w:line="3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（四）</w:t>
            </w:r>
            <w:r w:rsidR="00CD7E4E" w:rsidRPr="00CD7E4E">
              <w:rPr>
                <w:rFonts w:ascii="宋体" w:eastAsia="宋体" w:hAnsi="宋体" w:cs="宋体" w:hint="eastAsia"/>
                <w:sz w:val="24"/>
                <w:szCs w:val="24"/>
                <w:lang w:eastAsia="zh-CN"/>
              </w:rPr>
              <w:t>以上整改完成项，纳入各级日常检查范围。落实长效坚持。</w:t>
            </w:r>
          </w:p>
        </w:tc>
      </w:tr>
      <w:tr w:rsidR="005F2F92" w:rsidTr="008A1DE2">
        <w:trPr>
          <w:trHeight w:val="899"/>
          <w:jc w:val="center"/>
        </w:trPr>
        <w:tc>
          <w:tcPr>
            <w:tcW w:w="2083" w:type="dxa"/>
            <w:vAlign w:val="center"/>
          </w:tcPr>
          <w:p w:rsidR="005F2F92" w:rsidRDefault="00EA4D65">
            <w:pPr>
              <w:spacing w:before="78" w:line="219" w:lineRule="auto"/>
              <w:ind w:left="555"/>
              <w:rPr>
                <w:rFonts w:ascii="宋体" w:eastAsia="宋体" w:hAnsi="宋体" w:cs="宋体"/>
                <w:sz w:val="24"/>
                <w:szCs w:val="24"/>
              </w:rPr>
            </w:pPr>
            <w:r>
              <w:rPr>
                <w:rFonts w:ascii="宋体" w:eastAsia="宋体" w:hAnsi="宋体" w:cs="宋体"/>
                <w:spacing w:val="5"/>
                <w:sz w:val="24"/>
                <w:szCs w:val="24"/>
              </w:rPr>
              <w:t>整改时间</w:t>
            </w:r>
          </w:p>
        </w:tc>
        <w:tc>
          <w:tcPr>
            <w:tcW w:w="6457" w:type="dxa"/>
            <w:gridSpan w:val="2"/>
            <w:vAlign w:val="center"/>
          </w:tcPr>
          <w:p w:rsidR="005F2F92" w:rsidRDefault="00C6679E">
            <w:pPr>
              <w:spacing w:before="78" w:line="219" w:lineRule="auto"/>
              <w:ind w:left="2382"/>
              <w:rPr>
                <w:rFonts w:ascii="宋体" w:eastAsia="宋体" w:hAnsi="宋体" w:cs="宋体"/>
                <w:sz w:val="24"/>
                <w:szCs w:val="24"/>
              </w:rPr>
            </w:pPr>
            <w:r>
              <w:rPr>
                <w:rFonts w:ascii="宋体" w:eastAsia="宋体" w:hAnsi="宋体" w:cs="宋体" w:hint="eastAsia"/>
                <w:sz w:val="24"/>
                <w:szCs w:val="24"/>
                <w:lang w:eastAsia="zh-CN"/>
              </w:rPr>
              <w:t>立行立改，长期坚持</w:t>
            </w:r>
          </w:p>
        </w:tc>
      </w:tr>
      <w:tr w:rsidR="005F2F92" w:rsidTr="008A1DE2">
        <w:trPr>
          <w:trHeight w:val="1334"/>
          <w:jc w:val="center"/>
        </w:trPr>
        <w:tc>
          <w:tcPr>
            <w:tcW w:w="2083" w:type="dxa"/>
            <w:vAlign w:val="center"/>
          </w:tcPr>
          <w:p w:rsidR="005F2F92" w:rsidRDefault="005F2F92">
            <w:pPr>
              <w:pStyle w:val="TableText"/>
              <w:spacing w:line="317" w:lineRule="auto"/>
              <w:rPr>
                <w:lang w:eastAsia="zh-CN"/>
              </w:rPr>
            </w:pPr>
          </w:p>
          <w:p w:rsidR="005F2F92" w:rsidRDefault="00EA4D65">
            <w:pPr>
              <w:spacing w:before="78" w:line="260" w:lineRule="auto"/>
              <w:ind w:left="674" w:right="187" w:hanging="479"/>
              <w:rPr>
                <w:rFonts w:ascii="宋体" w:eastAsia="宋体" w:hAnsi="宋体" w:cs="宋体"/>
                <w:sz w:val="24"/>
                <w:szCs w:val="24"/>
                <w:lang w:eastAsia="zh-CN"/>
              </w:rPr>
            </w:pPr>
            <w:r>
              <w:rPr>
                <w:rFonts w:ascii="宋体" w:eastAsia="宋体" w:hAnsi="宋体" w:cs="宋体"/>
                <w:spacing w:val="1"/>
                <w:sz w:val="24"/>
                <w:szCs w:val="24"/>
                <w:lang w:eastAsia="zh-CN"/>
              </w:rPr>
              <w:t>社会监督联系人</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及电话</w:t>
            </w:r>
          </w:p>
        </w:tc>
        <w:tc>
          <w:tcPr>
            <w:tcW w:w="6457" w:type="dxa"/>
            <w:gridSpan w:val="2"/>
            <w:vAlign w:val="center"/>
          </w:tcPr>
          <w:p w:rsidR="005F2F92" w:rsidRDefault="00C6679E" w:rsidP="00C6679E">
            <w:pPr>
              <w:spacing w:before="26" w:line="219"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李志楠。6</w:t>
            </w:r>
            <w:r>
              <w:rPr>
                <w:rFonts w:ascii="宋体" w:eastAsia="宋体" w:hAnsi="宋体" w:cs="宋体"/>
                <w:sz w:val="24"/>
                <w:szCs w:val="24"/>
                <w:lang w:eastAsia="zh-CN"/>
              </w:rPr>
              <w:t>6253625</w:t>
            </w:r>
          </w:p>
        </w:tc>
      </w:tr>
    </w:tbl>
    <w:p w:rsidR="005F2F92" w:rsidRDefault="005F2F92" w:rsidP="001B27D7">
      <w:pPr>
        <w:spacing w:before="98" w:line="330" w:lineRule="auto"/>
        <w:ind w:right="155"/>
        <w:rPr>
          <w:rFonts w:ascii="宋体" w:eastAsia="宋体" w:hAnsi="宋体" w:cs="宋体"/>
          <w:sz w:val="25"/>
          <w:szCs w:val="25"/>
          <w:lang w:eastAsia="zh-CN"/>
        </w:rPr>
      </w:pPr>
    </w:p>
    <w:sectPr w:rsidR="005F2F92" w:rsidSect="00E90B86">
      <w:headerReference w:type="default" r:id="rId7"/>
      <w:footerReference w:type="default" r:id="rId8"/>
      <w:pgSz w:w="11910" w:h="16840"/>
      <w:pgMar w:top="1440" w:right="1800" w:bottom="1440" w:left="1800" w:header="850"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5BC" w:rsidRDefault="00FF15BC">
      <w:r>
        <w:separator/>
      </w:r>
    </w:p>
  </w:endnote>
  <w:endnote w:type="continuationSeparator" w:id="0">
    <w:p w:rsidR="00FF15BC" w:rsidRDefault="00FF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F92" w:rsidRDefault="005F2F92">
    <w:pPr>
      <w:spacing w:before="1" w:line="234" w:lineRule="auto"/>
      <w:ind w:left="300"/>
      <w:rPr>
        <w:rFonts w:ascii="宋体" w:eastAsia="宋体" w:hAnsi="宋体" w:cs="宋体"/>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5BC" w:rsidRDefault="00FF15BC">
      <w:r>
        <w:separator/>
      </w:r>
    </w:p>
  </w:footnote>
  <w:footnote w:type="continuationSeparator" w:id="0">
    <w:p w:rsidR="00FF15BC" w:rsidRDefault="00FF1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7D7" w:rsidRDefault="001B27D7">
    <w:pPr>
      <w:spacing w:before="81" w:line="224" w:lineRule="auto"/>
      <w:rPr>
        <w:rFonts w:ascii="黑体" w:eastAsia="黑体" w:hAnsi="黑体" w:cs="黑体"/>
        <w:sz w:val="31"/>
        <w:szCs w:val="3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92"/>
    <w:rsid w:val="001846D5"/>
    <w:rsid w:val="001B27D7"/>
    <w:rsid w:val="002046C0"/>
    <w:rsid w:val="00207642"/>
    <w:rsid w:val="005573D0"/>
    <w:rsid w:val="005F2F92"/>
    <w:rsid w:val="0060200A"/>
    <w:rsid w:val="00695A5A"/>
    <w:rsid w:val="00710B64"/>
    <w:rsid w:val="007A6188"/>
    <w:rsid w:val="008A1DE2"/>
    <w:rsid w:val="009C7973"/>
    <w:rsid w:val="00A27D8E"/>
    <w:rsid w:val="00A67934"/>
    <w:rsid w:val="00AC3337"/>
    <w:rsid w:val="00B009D6"/>
    <w:rsid w:val="00B20E37"/>
    <w:rsid w:val="00B2394F"/>
    <w:rsid w:val="00B9261B"/>
    <w:rsid w:val="00B94D39"/>
    <w:rsid w:val="00C6679E"/>
    <w:rsid w:val="00CC439D"/>
    <w:rsid w:val="00CD7E4E"/>
    <w:rsid w:val="00D32199"/>
    <w:rsid w:val="00DF29DD"/>
    <w:rsid w:val="00E24A63"/>
    <w:rsid w:val="00E90B86"/>
    <w:rsid w:val="00EA4D65"/>
    <w:rsid w:val="00EF1DA4"/>
    <w:rsid w:val="00F73477"/>
    <w:rsid w:val="00FA0F63"/>
    <w:rsid w:val="00FF1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5C4EB"/>
  <w15:docId w15:val="{2370E3F3-3EE3-4799-9290-3B2468EA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eastAsia="Arial"/>
    </w:rPr>
  </w:style>
  <w:style w:type="paragraph" w:customStyle="1" w:styleId="TableText">
    <w:name w:val="Table Text"/>
    <w:basedOn w:val="a"/>
    <w:semiHidden/>
    <w:qFormat/>
    <w:rPr>
      <w:rFonts w:eastAsia="Arial"/>
    </w:rPr>
  </w:style>
  <w:style w:type="paragraph" w:styleId="a4">
    <w:name w:val="header"/>
    <w:basedOn w:val="a"/>
    <w:link w:val="a5"/>
    <w:uiPriority w:val="99"/>
    <w:unhideWhenUsed/>
    <w:rsid w:val="00A67934"/>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uiPriority w:val="99"/>
    <w:rsid w:val="00A67934"/>
    <w:rPr>
      <w:noProof/>
      <w:sz w:val="18"/>
      <w:szCs w:val="18"/>
    </w:rPr>
  </w:style>
  <w:style w:type="paragraph" w:styleId="a6">
    <w:name w:val="footer"/>
    <w:basedOn w:val="a"/>
    <w:link w:val="a7"/>
    <w:uiPriority w:val="99"/>
    <w:unhideWhenUsed/>
    <w:rsid w:val="00A67934"/>
    <w:pPr>
      <w:tabs>
        <w:tab w:val="center" w:pos="4153"/>
        <w:tab w:val="right" w:pos="8306"/>
      </w:tabs>
    </w:pPr>
    <w:rPr>
      <w:sz w:val="18"/>
      <w:szCs w:val="18"/>
    </w:rPr>
  </w:style>
  <w:style w:type="character" w:customStyle="1" w:styleId="a7">
    <w:name w:val="页脚 字符"/>
    <w:basedOn w:val="a0"/>
    <w:link w:val="a6"/>
    <w:uiPriority w:val="99"/>
    <w:rsid w:val="00A67934"/>
    <w:rPr>
      <w:noProof/>
      <w:sz w:val="18"/>
      <w:szCs w:val="18"/>
    </w:rPr>
  </w:style>
  <w:style w:type="paragraph" w:styleId="a8">
    <w:name w:val="Balloon Text"/>
    <w:basedOn w:val="a"/>
    <w:link w:val="a9"/>
    <w:uiPriority w:val="99"/>
    <w:semiHidden/>
    <w:unhideWhenUsed/>
    <w:rsid w:val="00A67934"/>
    <w:rPr>
      <w:sz w:val="18"/>
      <w:szCs w:val="18"/>
    </w:rPr>
  </w:style>
  <w:style w:type="character" w:customStyle="1" w:styleId="a9">
    <w:name w:val="批注框文本 字符"/>
    <w:basedOn w:val="a0"/>
    <w:link w:val="a8"/>
    <w:uiPriority w:val="99"/>
    <w:semiHidden/>
    <w:rsid w:val="00A67934"/>
    <w:rPr>
      <w:noProof/>
      <w:sz w:val="18"/>
      <w:szCs w:val="18"/>
    </w:rPr>
  </w:style>
  <w:style w:type="paragraph" w:styleId="aa">
    <w:name w:val="Body Text Indent"/>
    <w:basedOn w:val="a"/>
    <w:link w:val="ab"/>
    <w:uiPriority w:val="99"/>
    <w:semiHidden/>
    <w:unhideWhenUsed/>
    <w:rsid w:val="00C6679E"/>
    <w:pPr>
      <w:spacing w:after="120"/>
      <w:ind w:leftChars="200" w:left="420"/>
    </w:pPr>
  </w:style>
  <w:style w:type="character" w:customStyle="1" w:styleId="ab">
    <w:name w:val="正文文本缩进 字符"/>
    <w:basedOn w:val="a0"/>
    <w:link w:val="aa"/>
    <w:uiPriority w:val="99"/>
    <w:semiHidden/>
    <w:rsid w:val="00C6679E"/>
    <w:rPr>
      <w:noProof/>
    </w:rPr>
  </w:style>
  <w:style w:type="paragraph" w:styleId="2">
    <w:name w:val="Body Text First Indent 2"/>
    <w:basedOn w:val="aa"/>
    <w:link w:val="20"/>
    <w:uiPriority w:val="99"/>
    <w:semiHidden/>
    <w:unhideWhenUsed/>
    <w:rsid w:val="00C6679E"/>
    <w:pPr>
      <w:ind w:firstLineChars="200" w:firstLine="420"/>
    </w:pPr>
    <w:rPr>
      <w:noProof w:val="0"/>
    </w:rPr>
  </w:style>
  <w:style w:type="character" w:customStyle="1" w:styleId="20">
    <w:name w:val="正文文本首行缩进 2 字符"/>
    <w:basedOn w:val="ab"/>
    <w:link w:val="2"/>
    <w:uiPriority w:val="99"/>
    <w:semiHidden/>
    <w:rsid w:val="00C6679E"/>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A65BC-A643-4B69-899A-ED4FAC09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glb aq</dc:creator>
  <cp:lastModifiedBy>glb aq</cp:lastModifiedBy>
  <cp:revision>4</cp:revision>
  <cp:lastPrinted>2025-07-24T01:44:00Z</cp:lastPrinted>
  <dcterms:created xsi:type="dcterms:W3CDTF">2025-07-31T07:23:00Z</dcterms:created>
  <dcterms:modified xsi:type="dcterms:W3CDTF">2025-08-05T06:02:00Z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2025-06-13T16:16:13Z</vt:filetime>
  </property>
  <property fmtid="{D5CDD505-2E9C-101B-9397-08002B2CF9AE}" pid="4" name="UsrData">
    <vt:lpwstr>684bde477ff865001f7e18e8wl</vt:lpwstr>
  </property>
</Properties>
</file>