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F77A0">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14:paraId="2DA9285C">
      <w:pPr>
        <w:jc w:val="center"/>
        <w:rPr>
          <w:rFonts w:ascii="仿宋_GB2312"/>
          <w:szCs w:val="30"/>
        </w:rPr>
      </w:pPr>
    </w:p>
    <w:p w14:paraId="466F5C22">
      <w:pPr>
        <w:spacing w:line="60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一、部门概况</w:t>
      </w:r>
    </w:p>
    <w:p w14:paraId="7AD54557">
      <w:pPr>
        <w:spacing w:line="600" w:lineRule="exact"/>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14:paraId="18DEAA39">
      <w:pPr>
        <w:spacing w:line="600" w:lineRule="exact"/>
        <w:ind w:firstLine="640" w:firstLineChars="20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北京祥龙资产经营有限责任公司是北京市国有资产监督管理委员会授权经营的国有独资公司，成立于2001年06月06日，为有限责任公司。北京市国资委作为北京市人民政府特设机构，代表市政府对本公司依法行使出资者权利。</w:t>
      </w:r>
    </w:p>
    <w:p w14:paraId="021F396C">
      <w:pPr>
        <w:spacing w:line="600" w:lineRule="exact"/>
        <w:ind w:firstLine="640" w:firstLineChars="20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本部门的控股股东为北京国有资本运营管理有限公司，最终控制方为北京市人民政府国有资产监督管理委员会。系统内有1户财政补助事业单位：北京市商业学校（北京祥龙资产经营有限责任公司党校）。</w:t>
      </w:r>
    </w:p>
    <w:p w14:paraId="037EA82F">
      <w:pPr>
        <w:spacing w:line="600" w:lineRule="exact"/>
        <w:ind w:firstLine="640" w:firstLineChars="20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北京祥龙资产经营有限责任公司作为一级主管部门，其主要职责是及时向所属事业单位传达财政最新政策法规，加强对所属事业单位预决算编制、资产管理、绩效评价等方面的审核与监督，确保流程标准化和规范化。结合单位的具体情况，在工作中提出合理化建议，提升所属事业单位的管理水平。</w:t>
      </w:r>
    </w:p>
    <w:p w14:paraId="1049E9C6">
      <w:pPr>
        <w:spacing w:line="600" w:lineRule="exact"/>
        <w:ind w:firstLine="640" w:firstLineChars="200"/>
        <w:rPr>
          <w:rFonts w:hint="eastAsia" w:ascii="楷体_GB2312" w:eastAsia="楷体_GB2312"/>
          <w:sz w:val="32"/>
          <w:szCs w:val="32"/>
          <w:lang w:eastAsia="zh-CN"/>
        </w:rPr>
      </w:pPr>
      <w:r>
        <w:rPr>
          <w:rFonts w:hint="eastAsia" w:ascii="楷体_GB2312" w:eastAsia="楷体_GB2312"/>
          <w:sz w:val="32"/>
          <w:szCs w:val="32"/>
        </w:rPr>
        <w:t>（二）部门整体绩效目标设立情况</w:t>
      </w:r>
    </w:p>
    <w:p w14:paraId="7ABD8EE8">
      <w:pPr>
        <w:spacing w:line="60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本部门整体绩效目标与部门实际工作密切相关，结合国家现行规定及政策，以及部门发展规划和实际需求进行设立，设立依据充分，绩效目标与部门职责任务相匹配；整体绩效目标明确、清晰、合理、细化、可衡量，符合客观实际及部门中长期发展规划和年度工作目标，项目绩效目标合理。</w:t>
      </w:r>
    </w:p>
    <w:p w14:paraId="743407B2">
      <w:pPr>
        <w:spacing w:line="60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p>
    <w:p w14:paraId="792F4469">
      <w:pPr>
        <w:spacing w:line="600" w:lineRule="exact"/>
        <w:ind w:left="105" w:leftChars="50" w:firstLine="480" w:firstLineChars="150"/>
        <w:rPr>
          <w:rFonts w:ascii="仿宋_GB2312" w:hAnsi="宋体" w:eastAsia="仿宋_GB2312" w:cs="宋体"/>
          <w:kern w:val="0"/>
          <w:sz w:val="32"/>
          <w:szCs w:val="32"/>
        </w:rPr>
      </w:pPr>
      <w:r>
        <w:rPr>
          <w:rFonts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年全年预</w:t>
      </w:r>
      <w:r>
        <w:rPr>
          <w:rFonts w:hint="eastAsia" w:ascii="仿宋_GB2312" w:hAnsi="宋体" w:eastAsia="仿宋_GB2312" w:cs="宋体"/>
          <w:kern w:val="0"/>
          <w:sz w:val="32"/>
          <w:szCs w:val="32"/>
          <w:highlight w:val="none"/>
        </w:rPr>
        <w:t>算数23742.42万元，其中，基本支出预算数17300.68万元，项目支出预算数6441.74万元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全年支出</w:t>
      </w:r>
      <w:r>
        <w:rPr>
          <w:rFonts w:hint="eastAsia" w:ascii="仿宋_GB2312" w:hAnsi="宋体" w:eastAsia="仿宋_GB2312" w:cs="宋体"/>
          <w:kern w:val="0"/>
          <w:sz w:val="32"/>
          <w:szCs w:val="32"/>
          <w:highlight w:val="none"/>
        </w:rPr>
        <w:t>23484.04</w:t>
      </w:r>
      <w:r>
        <w:rPr>
          <w:rFonts w:hint="eastAsia" w:ascii="仿宋_GB2312" w:hAnsi="宋体" w:eastAsia="仿宋_GB2312" w:cs="宋体"/>
          <w:kern w:val="0"/>
          <w:sz w:val="32"/>
          <w:szCs w:val="32"/>
          <w:highlight w:val="none"/>
          <w:lang w:val="en-US" w:eastAsia="zh-CN"/>
        </w:rPr>
        <w:t>万元，</w:t>
      </w:r>
      <w:r>
        <w:rPr>
          <w:rFonts w:hint="eastAsia" w:ascii="仿宋_GB2312" w:hAnsi="宋体" w:eastAsia="仿宋_GB2312" w:cs="宋体"/>
          <w:kern w:val="0"/>
          <w:sz w:val="32"/>
          <w:szCs w:val="32"/>
          <w:highlight w:val="none"/>
        </w:rPr>
        <w:t>其中，基本支出17129.61万元，项目支出6354.43万元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预算执行率为98.91%。</w:t>
      </w:r>
    </w:p>
    <w:p w14:paraId="77B9AD8D">
      <w:pPr>
        <w:spacing w:line="600" w:lineRule="exact"/>
        <w:ind w:left="105" w:leftChars="50" w:firstLine="480" w:firstLineChars="150"/>
        <w:rPr>
          <w:rFonts w:ascii="黑体" w:hAnsi="黑体" w:eastAsia="黑体" w:cs="宋体"/>
          <w:kern w:val="0"/>
          <w:sz w:val="32"/>
          <w:szCs w:val="32"/>
        </w:rPr>
      </w:pPr>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p>
    <w:p w14:paraId="4BEB5B50">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14:paraId="56AE9599">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1.产出数量</w:t>
      </w:r>
    </w:p>
    <w:p w14:paraId="7EBB31C5">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严格按照财政项目预算批复执行，对照绩效目标数量指标逐项落实，依法依规开展招标采购工作，验收环节规范严谨，对产出数量严格把关，并按规定完成固定资产入库工作，产出数量准确，完成情况良好。</w:t>
      </w:r>
    </w:p>
    <w:p w14:paraId="05A696C1">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2.产出</w:t>
      </w:r>
      <w:r>
        <w:rPr>
          <w:rFonts w:ascii="仿宋_GB2312" w:hAnsi="宋体" w:eastAsia="仿宋_GB2312" w:cs="宋体"/>
          <w:kern w:val="0"/>
          <w:sz w:val="32"/>
          <w:szCs w:val="32"/>
        </w:rPr>
        <w:t>质量</w:t>
      </w:r>
    </w:p>
    <w:p w14:paraId="7DAF424D">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财政及部门有关规定开展项目招标采购工作，规范采购程序，为产出质量提供有力保障；项目建设过程中进行监管，不合格的货物或材料不得使用；项目验收时组织多部门联合验收，聘请第三方专业监理公司对工程类项目进行把关，依据国家现行标准对现场进行考核，认真、细致核验质量证明资料，确保项目建成后满足使用要求，产出质量情况良好。</w:t>
      </w:r>
    </w:p>
    <w:p w14:paraId="5A2E5A21">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3.产出</w:t>
      </w:r>
      <w:r>
        <w:rPr>
          <w:rFonts w:ascii="仿宋_GB2312" w:hAnsi="宋体" w:eastAsia="仿宋_GB2312" w:cs="宋体"/>
          <w:kern w:val="0"/>
          <w:sz w:val="32"/>
          <w:szCs w:val="32"/>
        </w:rPr>
        <w:t>进度</w:t>
      </w:r>
    </w:p>
    <w:p w14:paraId="64E96C93">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部门统筹协调，做到年初有培训，执行有计划，过程有监管。项目建设任务分工明确，责任到人，项目负责人终身负责制。执行过程有序衔接，按时完成了项目产出进度。</w:t>
      </w:r>
    </w:p>
    <w:p w14:paraId="0A9DBD56">
      <w:pPr>
        <w:spacing w:line="600" w:lineRule="exact"/>
        <w:ind w:left="105" w:leftChars="50" w:firstLine="480" w:firstLineChars="15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产出</w:t>
      </w:r>
      <w:r>
        <w:rPr>
          <w:rFonts w:ascii="仿宋_GB2312" w:hAnsi="宋体" w:eastAsia="仿宋_GB2312" w:cs="宋体"/>
          <w:kern w:val="0"/>
          <w:sz w:val="32"/>
          <w:szCs w:val="32"/>
        </w:rPr>
        <w:t>成本</w:t>
      </w:r>
      <w:r>
        <w:rPr>
          <w:rFonts w:hint="eastAsia" w:ascii="仿宋_GB2312" w:hAnsi="宋体" w:eastAsia="仿宋_GB2312" w:cs="宋体"/>
          <w:kern w:val="0"/>
          <w:sz w:val="32"/>
          <w:szCs w:val="32"/>
        </w:rPr>
        <w:t xml:space="preserve">   </w:t>
      </w:r>
    </w:p>
    <w:p w14:paraId="7411CD4B">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项目预算编制科学、准确、合理，与项目建设目标对应，执行过程中，预算资金能够按照计划执行，严格遵守财政及学校管理制度规定，严格控制成本，完成情况良好。                                  </w:t>
      </w:r>
    </w:p>
    <w:p w14:paraId="673A9B0D">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14:paraId="25962218">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1.经济</w:t>
      </w:r>
      <w:r>
        <w:rPr>
          <w:rFonts w:ascii="仿宋_GB2312" w:hAnsi="宋体" w:eastAsia="仿宋_GB2312" w:cs="宋体"/>
          <w:kern w:val="0"/>
          <w:sz w:val="32"/>
          <w:szCs w:val="32"/>
        </w:rPr>
        <w:t>效益</w:t>
      </w:r>
    </w:p>
    <w:p w14:paraId="03512C1C">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严格按照设定的绩效目标执行，通过项目建设，采用先进的技术设备，对部门及领域内的教育教学和课程、专业发展，切实起到了促进和提升作用，带来了经济效益。</w:t>
      </w:r>
    </w:p>
    <w:p w14:paraId="10B3D8A8">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2.社会效益</w:t>
      </w:r>
    </w:p>
    <w:p w14:paraId="38B05C8E">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严格按照设定的绩效目标执行，通过项目建设，提升了部门整体办学水平和教学能力，促进了学生的学习及技能提升，结合社会需求，为社会培育了更多、更优秀的社会人才，促进了社会的发展。</w:t>
      </w:r>
    </w:p>
    <w:p w14:paraId="23BECCFE">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3.环境效益</w:t>
      </w:r>
    </w:p>
    <w:p w14:paraId="47C699FD">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严格按照设定的绩效目标执行，项目建设时采用的新设备和技术充分考虑水电能源节约问题，全部为技能产品，大大降低了水电能耗，所有新设备和装饰装修所用的材料均满足国家环保要求，项目验收时进行第三方空气检测，室内空气质量优良率明显提升。</w:t>
      </w:r>
    </w:p>
    <w:p w14:paraId="53411548">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4.可持续</w:t>
      </w:r>
      <w:r>
        <w:rPr>
          <w:rFonts w:ascii="仿宋_GB2312" w:hAnsi="宋体" w:eastAsia="仿宋_GB2312" w:cs="宋体"/>
          <w:kern w:val="0"/>
          <w:sz w:val="32"/>
          <w:szCs w:val="32"/>
        </w:rPr>
        <w:t>性影响</w:t>
      </w:r>
    </w:p>
    <w:p w14:paraId="7F9C58C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严格按照设定的绩效目标执行，项目建成后，项目成果持续发挥作用，对部门及各专业未来可持续发展带来持久影响。</w:t>
      </w:r>
    </w:p>
    <w:p w14:paraId="23AE38E2">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5.服务对象</w:t>
      </w:r>
      <w:r>
        <w:rPr>
          <w:rFonts w:ascii="仿宋_GB2312" w:hAnsi="宋体" w:eastAsia="仿宋_GB2312" w:cs="宋体"/>
          <w:kern w:val="0"/>
          <w:sz w:val="32"/>
          <w:szCs w:val="32"/>
        </w:rPr>
        <w:t>满意度</w:t>
      </w:r>
    </w:p>
    <w:p w14:paraId="5966B9E1">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项目设立贴合师生使用需求，执行时严格落实设定的绩效目标，项目建成后，切实满足了师生的实际需求，得到了广大师生的广泛认可。</w:t>
      </w:r>
    </w:p>
    <w:p w14:paraId="55668AEC">
      <w:pPr>
        <w:spacing w:line="600" w:lineRule="exact"/>
        <w:ind w:left="105" w:leftChars="50" w:firstLine="480" w:firstLineChars="150"/>
        <w:rPr>
          <w:rFonts w:ascii="黑体" w:hAnsi="黑体" w:eastAsia="黑体" w:cs="宋体"/>
          <w:kern w:val="0"/>
          <w:sz w:val="32"/>
          <w:szCs w:val="32"/>
        </w:rPr>
      </w:pPr>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p>
    <w:p w14:paraId="791EBDD4">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14:paraId="14008240">
      <w:pPr>
        <w:spacing w:line="600" w:lineRule="exact"/>
        <w:ind w:left="105" w:leftChars="50" w:firstLine="480" w:firstLineChars="15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1.财务</w:t>
      </w:r>
      <w:r>
        <w:rPr>
          <w:rFonts w:ascii="仿宋_GB2312" w:hAnsi="宋体" w:eastAsia="仿宋_GB2312" w:cs="宋体"/>
          <w:kern w:val="0"/>
          <w:sz w:val="32"/>
          <w:szCs w:val="32"/>
          <w:highlight w:val="none"/>
        </w:rPr>
        <w:t>管理制度健全性</w:t>
      </w:r>
    </w:p>
    <w:p w14:paraId="23134955">
      <w:pPr>
        <w:spacing w:line="600" w:lineRule="exact"/>
        <w:ind w:left="105" w:leftChars="50" w:firstLine="480" w:firstLineChars="15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紧紧围绕财务工作规范化管理需要，加强制度建设，规范业务流程。先后修订完善了《预算管理办法》、《财务报销管理办法》、《差旅费报销管理办法》、《劳务费发放管理办法》等制度规定，配套出台《月度预算管理细则》、《财务报销工作指南》等具体实施细则。</w:t>
      </w:r>
    </w:p>
    <w:p w14:paraId="1BD5B0AF">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2.资金使用合规性</w:t>
      </w:r>
      <w:r>
        <w:rPr>
          <w:rFonts w:ascii="仿宋_GB2312" w:hAnsi="宋体" w:eastAsia="仿宋_GB2312" w:cs="宋体"/>
          <w:kern w:val="0"/>
          <w:sz w:val="32"/>
          <w:szCs w:val="32"/>
        </w:rPr>
        <w:t>和安全性</w:t>
      </w:r>
    </w:p>
    <w:p w14:paraId="43AF9099">
      <w:pPr>
        <w:spacing w:line="600" w:lineRule="exact"/>
        <w:ind w:left="105" w:leftChars="50" w:firstLine="480" w:firstLineChars="150"/>
        <w:rPr>
          <w:rFonts w:ascii="仿宋_GB2312" w:hAnsi="宋体" w:eastAsia="仿宋_GB2312" w:cs="宋体"/>
          <w:kern w:val="0"/>
          <w:sz w:val="32"/>
          <w:szCs w:val="32"/>
        </w:rPr>
      </w:pPr>
      <w:r>
        <w:rPr>
          <w:rFonts w:hint="eastAsia" w:ascii="仿宋_GB2312" w:eastAsia="仿宋_GB2312"/>
          <w:sz w:val="32"/>
          <w:szCs w:val="32"/>
        </w:rPr>
        <w:t>严格执行财政预算批复内容，严格按照部门财务管理制度和项目工作管理办法执行，强化过程管控，上下联动，加强对预算审批的管理，程序严谨，手续齐全，对预算经费的每一分钱都严格把关，专款专用，避免资金浪费，资金管理情况良好，资金使用依法依规。</w:t>
      </w:r>
    </w:p>
    <w:p w14:paraId="4959486B">
      <w:pPr>
        <w:spacing w:line="600" w:lineRule="exact"/>
        <w:ind w:left="105" w:leftChars="50" w:firstLine="480" w:firstLineChars="15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会计</w:t>
      </w:r>
      <w:r>
        <w:rPr>
          <w:rFonts w:ascii="仿宋_GB2312" w:hAnsi="宋体" w:eastAsia="仿宋_GB2312" w:cs="宋体"/>
          <w:kern w:val="0"/>
          <w:sz w:val="32"/>
          <w:szCs w:val="32"/>
        </w:rPr>
        <w:t>基础信息完善性</w:t>
      </w:r>
    </w:p>
    <w:p w14:paraId="5DF8CBB3">
      <w:pPr>
        <w:spacing w:line="600" w:lineRule="exact"/>
        <w:ind w:left="105" w:leftChars="50" w:firstLine="480" w:firstLineChars="150"/>
        <w:rPr>
          <w:rFonts w:ascii="仿宋_GB2312" w:hAnsi="宋体" w:eastAsia="仿宋_GB2312" w:cs="宋体"/>
          <w:kern w:val="0"/>
          <w:sz w:val="32"/>
          <w:szCs w:val="32"/>
        </w:rPr>
      </w:pPr>
      <w:r>
        <w:rPr>
          <w:rFonts w:hint="eastAsia" w:ascii="仿宋_GB2312" w:hAnsi="宋体" w:eastAsia="仿宋_GB2312" w:cs="宋体"/>
          <w:kern w:val="0"/>
          <w:sz w:val="32"/>
          <w:szCs w:val="32"/>
        </w:rPr>
        <w:t>严格按照预算支出内容及科目分类，准确记录每一笔支出项目，及时完善单位的财务状况和现金流量等信息，有效的反映单位过去所发生的财务信息。严格把控单位整体及每个项目的支出内容及进度，并和预算进行比较，及时提出预警或建议信息。</w:t>
      </w:r>
    </w:p>
    <w:p w14:paraId="5D1EFD81">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14:paraId="00FC5946">
      <w:pPr>
        <w:spacing w:line="600" w:lineRule="exact"/>
        <w:ind w:left="105" w:leftChars="50" w:firstLine="480" w:firstLineChars="150"/>
        <w:rPr>
          <w:rFonts w:ascii="仿宋_GB2312" w:eastAsia="仿宋_GB2312"/>
          <w:sz w:val="32"/>
          <w:szCs w:val="32"/>
        </w:rPr>
      </w:pPr>
      <w:r>
        <w:rPr>
          <w:rFonts w:hint="eastAsia" w:ascii="仿宋_GB2312" w:eastAsia="仿宋_GB2312"/>
          <w:sz w:val="32"/>
          <w:szCs w:val="32"/>
        </w:rPr>
        <w:t>落实</w:t>
      </w:r>
      <w:r>
        <w:rPr>
          <w:rFonts w:ascii="仿宋_GB2312" w:eastAsia="仿宋_GB2312"/>
          <w:sz w:val="32"/>
          <w:szCs w:val="32"/>
        </w:rPr>
        <w:t>财政</w:t>
      </w:r>
      <w:r>
        <w:rPr>
          <w:rFonts w:hint="eastAsia" w:ascii="仿宋_GB2312" w:eastAsia="仿宋_GB2312"/>
          <w:sz w:val="32"/>
          <w:szCs w:val="32"/>
        </w:rPr>
        <w:t>和</w:t>
      </w:r>
      <w:r>
        <w:rPr>
          <w:rFonts w:ascii="仿宋_GB2312" w:eastAsia="仿宋_GB2312"/>
          <w:sz w:val="32"/>
          <w:szCs w:val="32"/>
        </w:rPr>
        <w:t>上级要求，建设和完善</w:t>
      </w:r>
      <w:r>
        <w:rPr>
          <w:rFonts w:hint="eastAsia" w:ascii="仿宋_GB2312" w:eastAsia="仿宋_GB2312"/>
          <w:sz w:val="32"/>
          <w:szCs w:val="32"/>
        </w:rPr>
        <w:t>部门</w:t>
      </w:r>
      <w:r>
        <w:rPr>
          <w:rFonts w:ascii="仿宋_GB2312" w:eastAsia="仿宋_GB2312"/>
          <w:sz w:val="32"/>
          <w:szCs w:val="32"/>
        </w:rPr>
        <w:t>资产</w:t>
      </w:r>
      <w:r>
        <w:rPr>
          <w:rFonts w:hint="eastAsia" w:ascii="仿宋_GB2312" w:eastAsia="仿宋_GB2312"/>
          <w:sz w:val="32"/>
          <w:szCs w:val="32"/>
        </w:rPr>
        <w:t>管理</w:t>
      </w:r>
      <w:r>
        <w:rPr>
          <w:rFonts w:ascii="仿宋_GB2312" w:eastAsia="仿宋_GB2312"/>
          <w:sz w:val="32"/>
          <w:szCs w:val="32"/>
        </w:rPr>
        <w:t>制度</w:t>
      </w:r>
      <w:r>
        <w:rPr>
          <w:rFonts w:hint="eastAsia" w:ascii="仿宋_GB2312" w:eastAsia="仿宋_GB2312"/>
          <w:sz w:val="32"/>
          <w:szCs w:val="32"/>
        </w:rPr>
        <w:t>。严格按照规定的配置标准，没有配置标准的，结合单位履职需要和事业发展需求，厉行节约，合理配置</w:t>
      </w:r>
      <w:r>
        <w:rPr>
          <w:rFonts w:ascii="仿宋_GB2312" w:eastAsia="仿宋_GB2312"/>
          <w:sz w:val="32"/>
          <w:szCs w:val="32"/>
        </w:rPr>
        <w:t>。</w:t>
      </w:r>
      <w:r>
        <w:rPr>
          <w:rFonts w:hint="eastAsia" w:ascii="仿宋_GB2312" w:eastAsia="仿宋_GB2312"/>
          <w:sz w:val="32"/>
          <w:szCs w:val="32"/>
        </w:rPr>
        <w:t>及时</w:t>
      </w:r>
      <w:r>
        <w:rPr>
          <w:rFonts w:ascii="仿宋_GB2312" w:eastAsia="仿宋_GB2312"/>
          <w:sz w:val="32"/>
          <w:szCs w:val="32"/>
        </w:rPr>
        <w:t>验收入库，提高效能，确保资产安全完整。</w:t>
      </w:r>
    </w:p>
    <w:p w14:paraId="09330F3E">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14:paraId="33A3AB17">
      <w:pPr>
        <w:ind w:firstLine="640" w:firstLineChars="200"/>
        <w:rPr>
          <w:rFonts w:ascii="仿宋_GB2312" w:eastAsia="仿宋_GB2312"/>
          <w:sz w:val="32"/>
          <w:szCs w:val="32"/>
        </w:rPr>
      </w:pPr>
      <w:r>
        <w:rPr>
          <w:rFonts w:hint="eastAsia" w:ascii="仿宋_GB2312" w:eastAsia="仿宋_GB2312"/>
          <w:sz w:val="32"/>
          <w:szCs w:val="32"/>
        </w:rPr>
        <w:t>1、领导高度重视绩效管理的主体责任，强化绩效管理主体责任意识，切实做好绩效管理工作，提高财政资金的使用效益和管理水平。</w:t>
      </w:r>
    </w:p>
    <w:p w14:paraId="15B5A788">
      <w:pPr>
        <w:ind w:firstLine="640" w:firstLineChars="200"/>
        <w:rPr>
          <w:rFonts w:ascii="仿宋_GB2312" w:eastAsia="仿宋_GB2312"/>
          <w:sz w:val="32"/>
          <w:szCs w:val="32"/>
        </w:rPr>
      </w:pPr>
      <w:r>
        <w:rPr>
          <w:rFonts w:hint="eastAsia" w:ascii="仿宋_GB2312" w:eastAsia="仿宋_GB2312"/>
          <w:sz w:val="32"/>
          <w:szCs w:val="32"/>
        </w:rPr>
        <w:t>2、按照财政有关预算绩效管理制度和要求，结合单位实际情况，责成预算单位强化认识，认真履行预算绩效管理主体责任，严格落实全过程预算绩效管理，做到“用钱必问效，无效必问责”，切实用好每一分钱；做好绩效评价结果的反馈工作，强化评价结果的应用，更好地促进和提升部门项目管理工作。</w:t>
      </w:r>
    </w:p>
    <w:p w14:paraId="33FA073B">
      <w:pPr>
        <w:ind w:firstLine="640" w:firstLineChars="200"/>
        <w:rPr>
          <w:rFonts w:ascii="仿宋_GB2312" w:eastAsia="仿宋_GB2312"/>
          <w:sz w:val="32"/>
          <w:szCs w:val="32"/>
        </w:rPr>
      </w:pPr>
      <w:r>
        <w:rPr>
          <w:rFonts w:hint="eastAsia" w:ascii="仿宋_GB2312" w:eastAsia="仿宋_GB2312"/>
          <w:sz w:val="32"/>
          <w:szCs w:val="32"/>
        </w:rPr>
        <w:t>3、执行过程中严格按照绩效目标执行，强化责任意识，加强对项目负责人的培训，加强执行过程中各环节的管控，逐级审核，确保了绩效指标能够按要求完成，绩效指标的建设及完成情况良好。</w:t>
      </w:r>
    </w:p>
    <w:p w14:paraId="68789BE5">
      <w:pPr>
        <w:ind w:firstLine="640" w:firstLineChars="200"/>
        <w:rPr>
          <w:rFonts w:ascii="仿宋_GB2312" w:eastAsia="仿宋_GB2312"/>
          <w:sz w:val="32"/>
          <w:szCs w:val="32"/>
        </w:rPr>
      </w:pPr>
      <w:r>
        <w:rPr>
          <w:rFonts w:hint="eastAsia" w:ascii="仿宋_GB2312" w:eastAsia="仿宋_GB2312"/>
          <w:sz w:val="32"/>
          <w:szCs w:val="32"/>
        </w:rPr>
        <w:t>4、通过预算绩效管理工作，促进了部门整体项目管理工作，自上而下提高了对绩效管理工作的认识和重视程度，调动了项目管理人员的积极性和主动性，加强了项目管理工作中的沟通与交流，提升了服务质量和工作效能，为圆满完成项目工作提供了有力保障。</w:t>
      </w:r>
    </w:p>
    <w:p w14:paraId="72354282">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14:paraId="57B87A69">
      <w:pPr>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年末部门结余资金258.38万元,结转结余占全年预算支出数23742.42</w:t>
      </w:r>
      <w:r>
        <w:rPr>
          <w:rFonts w:hint="eastAsia" w:ascii="仿宋_GB2312" w:eastAsia="仿宋_GB2312"/>
          <w:sz w:val="32"/>
          <w:szCs w:val="32"/>
          <w:highlight w:val="none"/>
          <w:lang w:val="en-US" w:eastAsia="zh-CN"/>
        </w:rPr>
        <w:t>万元</w:t>
      </w:r>
      <w:r>
        <w:rPr>
          <w:rFonts w:hint="eastAsia" w:ascii="仿宋_GB2312" w:eastAsia="仿宋_GB2312"/>
          <w:sz w:val="32"/>
          <w:szCs w:val="32"/>
        </w:rPr>
        <w:t>的百分比为1.09%。</w:t>
      </w:r>
    </w:p>
    <w:p w14:paraId="09D9074A">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14:paraId="6ADB01C1">
      <w:pPr>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年度部门预算数24148.64万元，决算数23742.42万元，差异率为-1.68%。</w:t>
      </w:r>
    </w:p>
    <w:p w14:paraId="4C2CADA9">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3A2405BD">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07388F80">
      <w:pPr>
        <w:spacing w:line="600" w:lineRule="exact"/>
        <w:ind w:left="105" w:leftChars="50" w:firstLine="480" w:firstLineChars="150"/>
        <w:rPr>
          <w:rFonts w:hint="eastAsia"/>
          <w:lang w:val="en-US" w:eastAsia="zh-CN"/>
        </w:rPr>
      </w:pPr>
      <w:r>
        <w:rPr>
          <w:rFonts w:hint="eastAsia" w:ascii="仿宋_GB2312" w:eastAsia="仿宋_GB2312"/>
          <w:sz w:val="32"/>
          <w:szCs w:val="32"/>
          <w:highlight w:val="none"/>
          <w:lang w:val="en-US" w:eastAsia="zh-CN"/>
        </w:rPr>
        <w:t>2024年度我校部门整体绩效评价得分为96.49分，综合评价等级为“优”，各一级指标得分情况如下，具体评分情况见附件：“2024年部门整体绩效评价指标体系评分表”：</w:t>
      </w:r>
    </w:p>
    <w:p w14:paraId="6F606538">
      <w:pPr>
        <w:keepNext w:val="0"/>
        <w:keepLines w:val="0"/>
        <w:pageBreakBefore w:val="0"/>
        <w:widowControl w:val="0"/>
        <w:kinsoku/>
        <w:wordWrap/>
        <w:overflowPunct/>
        <w:topLinePunct w:val="0"/>
        <w:autoSpaceDE/>
        <w:autoSpaceDN/>
        <w:bidi w:val="0"/>
        <w:adjustRightInd/>
        <w:snapToGrid/>
        <w:spacing w:before="157" w:beforeLines="50" w:line="600" w:lineRule="exact"/>
        <w:ind w:left="105" w:leftChars="50" w:firstLine="482" w:firstLineChars="150"/>
        <w:jc w:val="center"/>
        <w:textAlignment w:val="auto"/>
        <w:rPr>
          <w:rFonts w:hint="eastAsia" w:ascii="仿宋_GB2312" w:eastAsia="仿宋_GB2312"/>
          <w:b/>
          <w:bCs/>
          <w:sz w:val="32"/>
          <w:szCs w:val="32"/>
          <w:highlight w:val="none"/>
          <w:lang w:val="en-US" w:eastAsia="zh-CN"/>
        </w:rPr>
      </w:pPr>
      <w:r>
        <w:rPr>
          <w:rFonts w:hint="eastAsia" w:ascii="仿宋_GB2312" w:eastAsia="仿宋_GB2312"/>
          <w:b/>
          <w:bCs/>
          <w:sz w:val="32"/>
          <w:szCs w:val="32"/>
          <w:highlight w:val="none"/>
          <w:lang w:val="en-US" w:eastAsia="zh-CN"/>
        </w:rPr>
        <w:t>2024年部门整体绩效得分情况表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35"/>
        <w:gridCol w:w="1525"/>
        <w:gridCol w:w="2131"/>
        <w:gridCol w:w="2131"/>
      </w:tblGrid>
      <w:tr w14:paraId="7392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35" w:type="dxa"/>
            <w:vAlign w:val="center"/>
          </w:tcPr>
          <w:p w14:paraId="1AB5D0F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eastAsia="仿宋_GB2312"/>
                <w:b/>
                <w:bCs/>
                <w:sz w:val="28"/>
                <w:szCs w:val="28"/>
                <w:highlight w:val="none"/>
                <w:lang w:val="en-US" w:eastAsia="zh-CN"/>
              </w:rPr>
            </w:pPr>
            <w:r>
              <w:rPr>
                <w:rFonts w:hint="eastAsia" w:ascii="仿宋_GB2312" w:eastAsia="仿宋_GB2312"/>
                <w:b/>
                <w:bCs/>
                <w:sz w:val="28"/>
                <w:szCs w:val="28"/>
                <w:highlight w:val="none"/>
                <w:lang w:val="en-US" w:eastAsia="zh-CN"/>
              </w:rPr>
              <w:t>一级指标</w:t>
            </w:r>
          </w:p>
        </w:tc>
        <w:tc>
          <w:tcPr>
            <w:tcW w:w="1525" w:type="dxa"/>
            <w:vAlign w:val="center"/>
          </w:tcPr>
          <w:p w14:paraId="3CFF69B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eastAsia="仿宋_GB2312"/>
                <w:b/>
                <w:bCs/>
                <w:sz w:val="28"/>
                <w:szCs w:val="28"/>
                <w:highlight w:val="none"/>
                <w:lang w:val="en-US" w:eastAsia="zh-CN"/>
              </w:rPr>
            </w:pPr>
            <w:r>
              <w:rPr>
                <w:rFonts w:hint="eastAsia" w:ascii="仿宋_GB2312" w:eastAsia="仿宋_GB2312"/>
                <w:b/>
                <w:bCs/>
                <w:sz w:val="28"/>
                <w:szCs w:val="28"/>
                <w:highlight w:val="none"/>
                <w:lang w:val="en-US" w:eastAsia="zh-CN"/>
              </w:rPr>
              <w:t>分值</w:t>
            </w:r>
          </w:p>
        </w:tc>
        <w:tc>
          <w:tcPr>
            <w:tcW w:w="2131" w:type="dxa"/>
            <w:vAlign w:val="center"/>
          </w:tcPr>
          <w:p w14:paraId="0B65C65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eastAsia="仿宋_GB2312"/>
                <w:b/>
                <w:bCs/>
                <w:sz w:val="28"/>
                <w:szCs w:val="28"/>
                <w:highlight w:val="none"/>
                <w:lang w:val="en-US" w:eastAsia="zh-CN"/>
              </w:rPr>
            </w:pPr>
            <w:r>
              <w:rPr>
                <w:rFonts w:hint="eastAsia" w:ascii="仿宋_GB2312" w:eastAsia="仿宋_GB2312"/>
                <w:b/>
                <w:bCs/>
                <w:sz w:val="28"/>
                <w:szCs w:val="28"/>
                <w:highlight w:val="none"/>
                <w:lang w:val="en-US" w:eastAsia="zh-CN"/>
              </w:rPr>
              <w:t>得分</w:t>
            </w:r>
          </w:p>
        </w:tc>
        <w:tc>
          <w:tcPr>
            <w:tcW w:w="2131" w:type="dxa"/>
            <w:vAlign w:val="center"/>
          </w:tcPr>
          <w:p w14:paraId="73C8D29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eastAsia="仿宋_GB2312"/>
                <w:b/>
                <w:bCs/>
                <w:sz w:val="28"/>
                <w:szCs w:val="28"/>
                <w:highlight w:val="none"/>
                <w:lang w:val="en-US" w:eastAsia="zh-CN"/>
              </w:rPr>
            </w:pPr>
            <w:r>
              <w:rPr>
                <w:rFonts w:hint="eastAsia" w:ascii="仿宋_GB2312" w:eastAsia="仿宋_GB2312"/>
                <w:b/>
                <w:bCs/>
                <w:sz w:val="28"/>
                <w:szCs w:val="28"/>
                <w:highlight w:val="none"/>
                <w:lang w:val="en-US" w:eastAsia="zh-CN"/>
              </w:rPr>
              <w:t>得分率</w:t>
            </w:r>
          </w:p>
        </w:tc>
      </w:tr>
      <w:tr w14:paraId="09B37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35" w:type="dxa"/>
            <w:vAlign w:val="center"/>
          </w:tcPr>
          <w:p w14:paraId="07944A72">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eastAsia="仿宋_GB2312"/>
                <w:b w:val="0"/>
                <w:bCs w:val="0"/>
                <w:sz w:val="24"/>
                <w:szCs w:val="24"/>
                <w:highlight w:val="none"/>
                <w:lang w:val="en-US" w:eastAsia="zh-CN"/>
              </w:rPr>
            </w:pPr>
            <w:r>
              <w:rPr>
                <w:rFonts w:hint="eastAsia" w:ascii="仿宋_GB2312" w:eastAsia="仿宋_GB2312"/>
                <w:b w:val="0"/>
                <w:bCs w:val="0"/>
                <w:sz w:val="24"/>
                <w:szCs w:val="24"/>
                <w:highlight w:val="none"/>
                <w:lang w:val="en-US" w:eastAsia="zh-CN"/>
              </w:rPr>
              <w:t>当年预算执行情况</w:t>
            </w:r>
          </w:p>
        </w:tc>
        <w:tc>
          <w:tcPr>
            <w:tcW w:w="1525" w:type="dxa"/>
            <w:vAlign w:val="center"/>
          </w:tcPr>
          <w:p w14:paraId="6C742D3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eastAsia="仿宋_GB2312"/>
                <w:b w:val="0"/>
                <w:bCs w:val="0"/>
                <w:sz w:val="24"/>
                <w:szCs w:val="24"/>
                <w:highlight w:val="none"/>
                <w:lang w:val="en-US" w:eastAsia="zh-CN"/>
              </w:rPr>
            </w:pPr>
            <w:r>
              <w:rPr>
                <w:rFonts w:hint="eastAsia" w:ascii="仿宋_GB2312" w:eastAsia="仿宋_GB2312"/>
                <w:b w:val="0"/>
                <w:bCs w:val="0"/>
                <w:sz w:val="24"/>
                <w:szCs w:val="24"/>
                <w:highlight w:val="none"/>
                <w:lang w:val="en-US" w:eastAsia="zh-CN"/>
              </w:rPr>
              <w:t>20</w:t>
            </w:r>
          </w:p>
        </w:tc>
        <w:tc>
          <w:tcPr>
            <w:tcW w:w="2131" w:type="dxa"/>
            <w:vAlign w:val="center"/>
          </w:tcPr>
          <w:p w14:paraId="655C6C0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eastAsia="仿宋_GB2312"/>
                <w:b w:val="0"/>
                <w:bCs w:val="0"/>
                <w:sz w:val="24"/>
                <w:szCs w:val="24"/>
                <w:highlight w:val="none"/>
                <w:lang w:val="en-US" w:eastAsia="zh-CN"/>
              </w:rPr>
            </w:pPr>
            <w:r>
              <w:rPr>
                <w:rFonts w:hint="eastAsia" w:ascii="仿宋_GB2312" w:eastAsia="仿宋_GB2312"/>
                <w:b w:val="0"/>
                <w:bCs w:val="0"/>
                <w:sz w:val="24"/>
                <w:szCs w:val="24"/>
                <w:highlight w:val="none"/>
                <w:lang w:val="en-US" w:eastAsia="zh-CN"/>
              </w:rPr>
              <w:t>19.78</w:t>
            </w:r>
          </w:p>
        </w:tc>
        <w:tc>
          <w:tcPr>
            <w:tcW w:w="2131" w:type="dxa"/>
            <w:vAlign w:val="center"/>
          </w:tcPr>
          <w:p w14:paraId="3D02DAA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eastAsia="仿宋_GB2312"/>
                <w:b w:val="0"/>
                <w:bCs w:val="0"/>
                <w:sz w:val="24"/>
                <w:szCs w:val="24"/>
                <w:highlight w:val="none"/>
                <w:lang w:val="en-US" w:eastAsia="zh-CN"/>
              </w:rPr>
            </w:pPr>
            <w:r>
              <w:rPr>
                <w:rFonts w:hint="eastAsia" w:ascii="仿宋_GB2312" w:eastAsia="仿宋_GB2312"/>
                <w:b w:val="0"/>
                <w:bCs w:val="0"/>
                <w:sz w:val="24"/>
                <w:szCs w:val="24"/>
                <w:highlight w:val="none"/>
                <w:lang w:val="en-US" w:eastAsia="zh-CN"/>
              </w:rPr>
              <w:t>98.91%</w:t>
            </w:r>
          </w:p>
        </w:tc>
      </w:tr>
      <w:tr w14:paraId="4E56C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35" w:type="dxa"/>
            <w:shd w:val="clear" w:color="auto" w:fill="auto"/>
            <w:vAlign w:val="center"/>
          </w:tcPr>
          <w:p w14:paraId="77D79D0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hAnsi="Times New Roman" w:eastAsia="仿宋_GB2312" w:cs="Times New Roman"/>
                <w:b/>
                <w:bCs/>
                <w:kern w:val="2"/>
                <w:sz w:val="28"/>
                <w:szCs w:val="28"/>
                <w:highlight w:val="none"/>
                <w:lang w:val="en-US" w:eastAsia="zh-CN" w:bidi="ar-SA"/>
              </w:rPr>
            </w:pPr>
            <w:r>
              <w:rPr>
                <w:rFonts w:hint="eastAsia" w:ascii="仿宋_GB2312" w:eastAsia="仿宋_GB2312"/>
                <w:b/>
                <w:bCs/>
                <w:sz w:val="28"/>
                <w:szCs w:val="28"/>
                <w:highlight w:val="none"/>
                <w:lang w:val="en-US" w:eastAsia="zh-CN"/>
              </w:rPr>
              <w:t>一级指标</w:t>
            </w:r>
          </w:p>
        </w:tc>
        <w:tc>
          <w:tcPr>
            <w:tcW w:w="1525" w:type="dxa"/>
            <w:shd w:val="clear" w:color="auto" w:fill="auto"/>
            <w:vAlign w:val="center"/>
          </w:tcPr>
          <w:p w14:paraId="620AFD3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hAnsi="Times New Roman" w:eastAsia="仿宋_GB2312" w:cs="Times New Roman"/>
                <w:b/>
                <w:bCs/>
                <w:kern w:val="2"/>
                <w:sz w:val="28"/>
                <w:szCs w:val="28"/>
                <w:highlight w:val="none"/>
                <w:lang w:val="en-US" w:eastAsia="zh-CN" w:bidi="ar-SA"/>
              </w:rPr>
            </w:pPr>
            <w:r>
              <w:rPr>
                <w:rFonts w:hint="eastAsia" w:ascii="仿宋_GB2312" w:eastAsia="仿宋_GB2312"/>
                <w:b/>
                <w:bCs/>
                <w:sz w:val="28"/>
                <w:szCs w:val="28"/>
                <w:highlight w:val="none"/>
                <w:lang w:val="en-US" w:eastAsia="zh-CN"/>
              </w:rPr>
              <w:t>分值</w:t>
            </w:r>
          </w:p>
        </w:tc>
        <w:tc>
          <w:tcPr>
            <w:tcW w:w="2131" w:type="dxa"/>
            <w:shd w:val="clear" w:color="auto" w:fill="auto"/>
            <w:vAlign w:val="center"/>
          </w:tcPr>
          <w:p w14:paraId="497855C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hAnsi="Times New Roman" w:eastAsia="仿宋_GB2312" w:cs="Times New Roman"/>
                <w:b/>
                <w:bCs/>
                <w:kern w:val="2"/>
                <w:sz w:val="28"/>
                <w:szCs w:val="28"/>
                <w:highlight w:val="none"/>
                <w:lang w:val="en-US" w:eastAsia="zh-CN" w:bidi="ar-SA"/>
              </w:rPr>
            </w:pPr>
            <w:r>
              <w:rPr>
                <w:rFonts w:hint="eastAsia" w:ascii="仿宋_GB2312" w:eastAsia="仿宋_GB2312"/>
                <w:b/>
                <w:bCs/>
                <w:sz w:val="28"/>
                <w:szCs w:val="28"/>
                <w:highlight w:val="none"/>
                <w:lang w:val="en-US" w:eastAsia="zh-CN"/>
              </w:rPr>
              <w:t>得分</w:t>
            </w:r>
          </w:p>
        </w:tc>
        <w:tc>
          <w:tcPr>
            <w:tcW w:w="2131" w:type="dxa"/>
            <w:shd w:val="clear" w:color="auto" w:fill="auto"/>
            <w:vAlign w:val="center"/>
          </w:tcPr>
          <w:p w14:paraId="65CCC73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hAnsi="Times New Roman" w:eastAsia="仿宋_GB2312" w:cs="Times New Roman"/>
                <w:b/>
                <w:bCs/>
                <w:kern w:val="2"/>
                <w:sz w:val="28"/>
                <w:szCs w:val="28"/>
                <w:highlight w:val="none"/>
                <w:lang w:val="en-US" w:eastAsia="zh-CN" w:bidi="ar-SA"/>
              </w:rPr>
            </w:pPr>
            <w:r>
              <w:rPr>
                <w:rFonts w:hint="eastAsia" w:ascii="仿宋_GB2312" w:eastAsia="仿宋_GB2312"/>
                <w:b/>
                <w:bCs/>
                <w:sz w:val="28"/>
                <w:szCs w:val="28"/>
                <w:highlight w:val="none"/>
                <w:lang w:val="en-US" w:eastAsia="zh-CN"/>
              </w:rPr>
              <w:t>得分率</w:t>
            </w:r>
          </w:p>
        </w:tc>
      </w:tr>
      <w:tr w14:paraId="24DB0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35" w:type="dxa"/>
            <w:shd w:val="clear" w:color="auto" w:fill="auto"/>
            <w:vAlign w:val="center"/>
          </w:tcPr>
          <w:p w14:paraId="4AC5445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b w:val="0"/>
                <w:bCs w:val="0"/>
                <w:sz w:val="24"/>
                <w:szCs w:val="24"/>
                <w:highlight w:val="none"/>
                <w:lang w:val="en-US" w:eastAsia="zh-CN"/>
              </w:rPr>
              <w:t>整体绩效目标实现情况</w:t>
            </w:r>
          </w:p>
        </w:tc>
        <w:tc>
          <w:tcPr>
            <w:tcW w:w="1525" w:type="dxa"/>
            <w:shd w:val="clear" w:color="auto" w:fill="auto"/>
            <w:vAlign w:val="center"/>
          </w:tcPr>
          <w:p w14:paraId="6617B61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cs="Times New Roman"/>
                <w:b w:val="0"/>
                <w:bCs w:val="0"/>
                <w:kern w:val="2"/>
                <w:sz w:val="24"/>
                <w:szCs w:val="24"/>
                <w:highlight w:val="none"/>
                <w:lang w:val="en-US" w:eastAsia="zh-CN" w:bidi="ar-SA"/>
              </w:rPr>
              <w:t>60</w:t>
            </w:r>
          </w:p>
        </w:tc>
        <w:tc>
          <w:tcPr>
            <w:tcW w:w="2131" w:type="dxa"/>
            <w:shd w:val="clear" w:color="auto" w:fill="auto"/>
            <w:vAlign w:val="center"/>
          </w:tcPr>
          <w:p w14:paraId="104603A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cs="Times New Roman"/>
                <w:b w:val="0"/>
                <w:bCs w:val="0"/>
                <w:kern w:val="2"/>
                <w:sz w:val="24"/>
                <w:szCs w:val="24"/>
                <w:highlight w:val="none"/>
                <w:lang w:val="en-US" w:eastAsia="zh-CN" w:bidi="ar-SA"/>
              </w:rPr>
              <w:t>58</w:t>
            </w:r>
          </w:p>
        </w:tc>
        <w:tc>
          <w:tcPr>
            <w:tcW w:w="2131" w:type="dxa"/>
            <w:shd w:val="clear" w:color="auto" w:fill="auto"/>
            <w:vAlign w:val="center"/>
          </w:tcPr>
          <w:p w14:paraId="3753E13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cs="Times New Roman"/>
                <w:b w:val="0"/>
                <w:bCs w:val="0"/>
                <w:kern w:val="2"/>
                <w:sz w:val="24"/>
                <w:szCs w:val="24"/>
                <w:highlight w:val="none"/>
                <w:lang w:val="en-US" w:eastAsia="zh-CN" w:bidi="ar-SA"/>
              </w:rPr>
              <w:t>96.67%</w:t>
            </w:r>
          </w:p>
        </w:tc>
      </w:tr>
      <w:tr w14:paraId="3BB7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35" w:type="dxa"/>
            <w:shd w:val="clear" w:color="auto" w:fill="auto"/>
            <w:vAlign w:val="center"/>
          </w:tcPr>
          <w:p w14:paraId="4C8C196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b w:val="0"/>
                <w:bCs w:val="0"/>
                <w:sz w:val="24"/>
                <w:szCs w:val="24"/>
                <w:highlight w:val="none"/>
                <w:lang w:val="en-US" w:eastAsia="zh-CN"/>
              </w:rPr>
              <w:t>预算管理情况</w:t>
            </w:r>
          </w:p>
        </w:tc>
        <w:tc>
          <w:tcPr>
            <w:tcW w:w="1525" w:type="dxa"/>
            <w:shd w:val="clear" w:color="auto" w:fill="auto"/>
            <w:vAlign w:val="center"/>
          </w:tcPr>
          <w:p w14:paraId="77BAD96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cs="Times New Roman"/>
                <w:b w:val="0"/>
                <w:bCs w:val="0"/>
                <w:kern w:val="2"/>
                <w:sz w:val="24"/>
                <w:szCs w:val="24"/>
                <w:highlight w:val="none"/>
                <w:lang w:val="en-US" w:eastAsia="zh-CN" w:bidi="ar-SA"/>
              </w:rPr>
              <w:t>20</w:t>
            </w:r>
          </w:p>
        </w:tc>
        <w:tc>
          <w:tcPr>
            <w:tcW w:w="2131" w:type="dxa"/>
            <w:shd w:val="clear" w:color="auto" w:fill="auto"/>
            <w:vAlign w:val="center"/>
          </w:tcPr>
          <w:p w14:paraId="1D656C3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cs="Times New Roman"/>
                <w:b w:val="0"/>
                <w:bCs w:val="0"/>
                <w:kern w:val="2"/>
                <w:sz w:val="24"/>
                <w:szCs w:val="24"/>
                <w:highlight w:val="none"/>
                <w:lang w:val="en-US" w:eastAsia="zh-CN" w:bidi="ar-SA"/>
              </w:rPr>
              <w:t>18.71</w:t>
            </w:r>
          </w:p>
        </w:tc>
        <w:tc>
          <w:tcPr>
            <w:tcW w:w="2131" w:type="dxa"/>
            <w:shd w:val="clear" w:color="auto" w:fill="auto"/>
            <w:vAlign w:val="center"/>
          </w:tcPr>
          <w:p w14:paraId="300B56E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cs="Times New Roman"/>
                <w:b w:val="0"/>
                <w:bCs w:val="0"/>
                <w:kern w:val="2"/>
                <w:sz w:val="24"/>
                <w:szCs w:val="24"/>
                <w:highlight w:val="none"/>
                <w:lang w:val="en-US" w:eastAsia="zh-CN" w:bidi="ar-SA"/>
              </w:rPr>
              <w:t>93.55%</w:t>
            </w:r>
          </w:p>
        </w:tc>
      </w:tr>
      <w:tr w14:paraId="0BC5A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35" w:type="dxa"/>
            <w:shd w:val="clear" w:color="auto" w:fill="auto"/>
            <w:vAlign w:val="center"/>
          </w:tcPr>
          <w:p w14:paraId="183C120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b/>
                <w:bCs/>
                <w:sz w:val="28"/>
                <w:szCs w:val="28"/>
                <w:highlight w:val="none"/>
                <w:lang w:val="en-US" w:eastAsia="zh-CN"/>
              </w:rPr>
              <w:t>合计</w:t>
            </w:r>
          </w:p>
        </w:tc>
        <w:tc>
          <w:tcPr>
            <w:tcW w:w="1525" w:type="dxa"/>
            <w:shd w:val="clear" w:color="auto" w:fill="auto"/>
            <w:vAlign w:val="center"/>
          </w:tcPr>
          <w:p w14:paraId="452F490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b/>
                <w:bCs/>
                <w:sz w:val="28"/>
                <w:szCs w:val="28"/>
                <w:highlight w:val="none"/>
                <w:lang w:val="en-US" w:eastAsia="zh-CN"/>
              </w:rPr>
              <w:t>100</w:t>
            </w:r>
          </w:p>
        </w:tc>
        <w:tc>
          <w:tcPr>
            <w:tcW w:w="2131" w:type="dxa"/>
            <w:shd w:val="clear" w:color="auto" w:fill="auto"/>
            <w:vAlign w:val="center"/>
          </w:tcPr>
          <w:p w14:paraId="2772196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cs="Times New Roman"/>
                <w:b w:val="0"/>
                <w:bCs w:val="0"/>
                <w:kern w:val="2"/>
                <w:sz w:val="24"/>
                <w:szCs w:val="24"/>
                <w:highlight w:val="none"/>
                <w:lang w:val="en-US" w:eastAsia="zh-CN" w:bidi="ar-SA"/>
              </w:rPr>
              <w:t>96.49</w:t>
            </w:r>
          </w:p>
        </w:tc>
        <w:tc>
          <w:tcPr>
            <w:tcW w:w="2131" w:type="dxa"/>
            <w:shd w:val="clear" w:color="auto" w:fill="auto"/>
            <w:vAlign w:val="center"/>
          </w:tcPr>
          <w:p w14:paraId="78CB495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Times New Roman" w:eastAsia="仿宋_GB2312" w:cs="Times New Roman"/>
                <w:b w:val="0"/>
                <w:bCs w:val="0"/>
                <w:kern w:val="2"/>
                <w:sz w:val="24"/>
                <w:szCs w:val="24"/>
                <w:highlight w:val="none"/>
                <w:lang w:val="en-US" w:eastAsia="zh-CN" w:bidi="ar-SA"/>
              </w:rPr>
            </w:pPr>
            <w:r>
              <w:rPr>
                <w:rFonts w:hint="eastAsia" w:ascii="仿宋_GB2312" w:eastAsia="仿宋_GB2312" w:cs="Times New Roman"/>
                <w:b w:val="0"/>
                <w:bCs w:val="0"/>
                <w:kern w:val="2"/>
                <w:sz w:val="24"/>
                <w:szCs w:val="24"/>
                <w:highlight w:val="none"/>
                <w:lang w:val="en-US" w:eastAsia="zh-CN" w:bidi="ar-SA"/>
              </w:rPr>
              <w:t>96.49%</w:t>
            </w:r>
          </w:p>
        </w:tc>
      </w:tr>
    </w:tbl>
    <w:p w14:paraId="1EA4336E">
      <w:pPr>
        <w:rPr>
          <w:rFonts w:hint="default"/>
          <w:lang w:val="en-US" w:eastAsia="zh-CN"/>
        </w:rPr>
      </w:pPr>
    </w:p>
    <w:p w14:paraId="548AECFF">
      <w:p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（二）存在的问题及原因分析</w:t>
      </w:r>
    </w:p>
    <w:p w14:paraId="118A936D">
      <w:p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本年度，部门整体运行平稳，基本完成了主要任务，但在评价过程中，仍发现个别项目存在绩效目标设定不够清晰可衡量，有效体现项目实施效果不足，需进一步提升绩效目标和绩效指标设定的科学性。</w:t>
      </w:r>
    </w:p>
    <w:p w14:paraId="36C3F41E">
      <w:pPr>
        <w:spacing w:line="600" w:lineRule="exact"/>
        <w:ind w:firstLine="640" w:firstLineChars="200"/>
        <w:rPr>
          <w:rFonts w:ascii="仿宋_GB2312" w:hAnsi="宋体" w:eastAsia="仿宋_GB2312" w:cs="宋体"/>
          <w:kern w:val="0"/>
          <w:sz w:val="32"/>
          <w:szCs w:val="32"/>
          <w:highlight w:val="none"/>
        </w:rPr>
      </w:pPr>
      <w:r>
        <w:rPr>
          <w:rFonts w:hint="eastAsia" w:ascii="黑体" w:hAnsi="黑体" w:eastAsia="黑体" w:cs="宋体"/>
          <w:kern w:val="0"/>
          <w:sz w:val="32"/>
          <w:szCs w:val="32"/>
          <w:highlight w:val="none"/>
        </w:rPr>
        <w:t>六、措施建议</w:t>
      </w:r>
    </w:p>
    <w:p w14:paraId="01060D92">
      <w:pPr>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组织各项目部门深入学习《北京市项目支出绩效评价管理办法》《北京市预算绩效目标管理办法》等文件要求，进一步明确绩效目标与绩效指标设定及量化标准，不断完善绩效目标与绩效指标体系，科学合理设定各项目绩效目标与指标。</w:t>
      </w:r>
    </w:p>
    <w:p w14:paraId="6289E55D">
      <w:pPr>
        <w:ind w:firstLine="640" w:firstLineChars="200"/>
        <w:rPr>
          <w:rFonts w:hint="eastAsia" w:ascii="仿宋_GB2312" w:eastAsia="仿宋_GB2312"/>
          <w:sz w:val="32"/>
          <w:szCs w:val="32"/>
          <w:highlight w:val="yellow"/>
        </w:rPr>
      </w:pPr>
    </w:p>
    <w:p w14:paraId="3227C6F3">
      <w:pPr>
        <w:bidi w:val="0"/>
        <w:rPr>
          <w:rFonts w:hint="eastAsia" w:ascii="Times New Roman" w:hAnsi="Times New Roman" w:eastAsia="宋体" w:cs="Times New Roman"/>
          <w:kern w:val="2"/>
          <w:sz w:val="21"/>
          <w:szCs w:val="24"/>
          <w:lang w:val="en-US" w:eastAsia="zh-CN" w:bidi="ar-SA"/>
        </w:rPr>
      </w:pPr>
    </w:p>
    <w:p w14:paraId="2A29F352">
      <w:pPr>
        <w:bidi w:val="0"/>
        <w:rPr>
          <w:rFonts w:hint="eastAsia"/>
          <w:lang w:val="en-US" w:eastAsia="zh-CN"/>
        </w:rPr>
      </w:pPr>
    </w:p>
    <w:p w14:paraId="17EA96B9">
      <w:pPr>
        <w:bidi w:val="0"/>
        <w:rPr>
          <w:rFonts w:hint="eastAsia"/>
          <w:lang w:val="en-US" w:eastAsia="zh-CN"/>
        </w:rPr>
      </w:pPr>
    </w:p>
    <w:p w14:paraId="35AF1971">
      <w:pPr>
        <w:bidi w:val="0"/>
        <w:rPr>
          <w:rFonts w:hint="eastAsia"/>
          <w:lang w:val="en-US" w:eastAsia="zh-CN"/>
        </w:rPr>
      </w:pPr>
    </w:p>
    <w:p w14:paraId="5B7C2168">
      <w:pPr>
        <w:bidi w:val="0"/>
        <w:rPr>
          <w:rFonts w:hint="eastAsia"/>
          <w:lang w:val="en-US" w:eastAsia="zh-CN"/>
        </w:rPr>
      </w:pPr>
    </w:p>
    <w:p w14:paraId="7B518D87">
      <w:pPr>
        <w:bidi w:val="0"/>
        <w:rPr>
          <w:rFonts w:hint="eastAsia"/>
          <w:lang w:val="en-US" w:eastAsia="zh-CN"/>
        </w:rPr>
      </w:pPr>
    </w:p>
    <w:p w14:paraId="7CD6C1C4">
      <w:pPr>
        <w:bidi w:val="0"/>
        <w:rPr>
          <w:rFonts w:hint="eastAsia"/>
          <w:lang w:val="en-US" w:eastAsia="zh-CN"/>
        </w:rPr>
      </w:pPr>
    </w:p>
    <w:p w14:paraId="474D9C41">
      <w:pPr>
        <w:bidi w:val="0"/>
        <w:rPr>
          <w:rFonts w:hint="eastAsia"/>
          <w:lang w:val="en-US" w:eastAsia="zh-CN"/>
        </w:rPr>
      </w:pPr>
    </w:p>
    <w:p w14:paraId="57A5C466">
      <w:pPr>
        <w:bidi w:val="0"/>
        <w:rPr>
          <w:rFonts w:hint="eastAsia"/>
          <w:lang w:val="en-US" w:eastAsia="zh-CN"/>
        </w:rPr>
      </w:pPr>
    </w:p>
    <w:p w14:paraId="658C825D">
      <w:pPr>
        <w:bidi w:val="0"/>
        <w:rPr>
          <w:rFonts w:hint="eastAsia"/>
          <w:lang w:val="en-US" w:eastAsia="zh-CN"/>
        </w:rPr>
      </w:pPr>
    </w:p>
    <w:p w14:paraId="7A8F5E51">
      <w:pPr>
        <w:bidi w:val="0"/>
        <w:rPr>
          <w:rFonts w:hint="eastAsia"/>
          <w:lang w:val="en-US" w:eastAsia="zh-CN"/>
        </w:rPr>
      </w:pPr>
    </w:p>
    <w:p w14:paraId="5D272E93">
      <w:pPr>
        <w:bidi w:val="0"/>
        <w:rPr>
          <w:rFonts w:hint="eastAsia"/>
          <w:lang w:val="en-US" w:eastAsia="zh-CN"/>
        </w:rPr>
      </w:pPr>
    </w:p>
    <w:p w14:paraId="454597A7">
      <w:pPr>
        <w:bidi w:val="0"/>
        <w:rPr>
          <w:rFonts w:hint="eastAsia"/>
          <w:lang w:val="en-US" w:eastAsia="zh-CN"/>
        </w:rPr>
      </w:pPr>
    </w:p>
    <w:p w14:paraId="7266010B">
      <w:pPr>
        <w:bidi w:val="0"/>
        <w:rPr>
          <w:rFonts w:hint="eastAsia"/>
          <w:lang w:val="en-US" w:eastAsia="zh-CN"/>
        </w:rPr>
      </w:pPr>
      <w:bookmarkStart w:id="1" w:name="_GoBack"/>
      <w:bookmarkEnd w:id="1"/>
    </w:p>
    <w:p w14:paraId="2FC33BEC">
      <w:pPr>
        <w:bidi w:val="0"/>
        <w:rPr>
          <w:rFonts w:hint="eastAsia"/>
          <w:lang w:val="en-US" w:eastAsia="zh-CN"/>
        </w:rPr>
      </w:pPr>
    </w:p>
    <w:p w14:paraId="773B9FBA">
      <w:pPr>
        <w:bidi w:val="0"/>
        <w:rPr>
          <w:rFonts w:hint="eastAsia"/>
          <w:lang w:val="en-US" w:eastAsia="zh-CN"/>
        </w:rPr>
      </w:pPr>
    </w:p>
    <w:p w14:paraId="0AC74ABF">
      <w:pPr>
        <w:rPr>
          <w:rFonts w:hint="eastAsia"/>
          <w:lang w:val="en-US" w:eastAsia="zh-CN"/>
        </w:rPr>
        <w:sectPr>
          <w:footerReference r:id="rId3" w:type="default"/>
          <w:pgSz w:w="11906" w:h="16838"/>
          <w:pgMar w:top="1440" w:right="1800" w:bottom="1440" w:left="1800" w:header="851" w:footer="992" w:gutter="0"/>
          <w:pgNumType w:fmt="numberInDash"/>
          <w:cols w:space="425" w:num="1"/>
          <w:docGrid w:type="lines" w:linePitch="312" w:charSpace="0"/>
        </w:sectPr>
      </w:pPr>
    </w:p>
    <w:p w14:paraId="14BBC1C1">
      <w:pPr>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附件：</w:t>
      </w:r>
    </w:p>
    <w:tbl>
      <w:tblPr>
        <w:tblStyle w:val="8"/>
        <w:tblW w:w="4428" w:type="pct"/>
        <w:jc w:val="center"/>
        <w:tblLayout w:type="fixed"/>
        <w:tblCellMar>
          <w:top w:w="0" w:type="dxa"/>
          <w:left w:w="108" w:type="dxa"/>
          <w:bottom w:w="0" w:type="dxa"/>
          <w:right w:w="108" w:type="dxa"/>
        </w:tblCellMar>
      </w:tblPr>
      <w:tblGrid>
        <w:gridCol w:w="2400"/>
        <w:gridCol w:w="2124"/>
        <w:gridCol w:w="2848"/>
        <w:gridCol w:w="1718"/>
        <w:gridCol w:w="1583"/>
        <w:gridCol w:w="783"/>
        <w:gridCol w:w="1098"/>
      </w:tblGrid>
      <w:tr w14:paraId="27A60791">
        <w:tblPrEx>
          <w:tblCellMar>
            <w:top w:w="0" w:type="dxa"/>
            <w:left w:w="108" w:type="dxa"/>
            <w:bottom w:w="0" w:type="dxa"/>
            <w:right w:w="108" w:type="dxa"/>
          </w:tblCellMar>
        </w:tblPrEx>
        <w:trPr>
          <w:trHeight w:val="726" w:hRule="atLeast"/>
          <w:jc w:val="center"/>
        </w:trPr>
        <w:tc>
          <w:tcPr>
            <w:tcW w:w="5000" w:type="pct"/>
            <w:gridSpan w:val="7"/>
            <w:tcBorders>
              <w:top w:val="nil"/>
              <w:left w:val="nil"/>
              <w:bottom w:val="single" w:color="auto" w:sz="4" w:space="0"/>
              <w:right w:val="nil"/>
            </w:tcBorders>
            <w:noWrap/>
            <w:vAlign w:val="bottom"/>
          </w:tcPr>
          <w:p w14:paraId="7B33D226">
            <w:pPr>
              <w:widowControl/>
              <w:jc w:val="center"/>
              <w:rPr>
                <w:rFonts w:hint="eastAsia"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4</w:t>
            </w:r>
            <w:r>
              <w:rPr>
                <w:rFonts w:hint="eastAsia" w:ascii="方正小标宋简体" w:hAnsi="黑体" w:eastAsia="方正小标宋简体" w:cs="宋体"/>
                <w:color w:val="000000"/>
                <w:kern w:val="0"/>
                <w:sz w:val="44"/>
                <w:szCs w:val="44"/>
              </w:rPr>
              <w:t>年部门整体绩效评价指标体系评分表</w:t>
            </w:r>
          </w:p>
        </w:tc>
      </w:tr>
      <w:tr w14:paraId="3E8D5D0F">
        <w:tblPrEx>
          <w:tblCellMar>
            <w:top w:w="0" w:type="dxa"/>
            <w:left w:w="108" w:type="dxa"/>
            <w:bottom w:w="0" w:type="dxa"/>
            <w:right w:w="108" w:type="dxa"/>
          </w:tblCellMar>
        </w:tblPrEx>
        <w:trPr>
          <w:trHeight w:val="454" w:hRule="exact"/>
          <w:jc w:val="center"/>
        </w:trPr>
        <w:tc>
          <w:tcPr>
            <w:tcW w:w="5000" w:type="pct"/>
            <w:gridSpan w:val="7"/>
            <w:tcBorders>
              <w:top w:val="single" w:color="auto" w:sz="4" w:space="0"/>
              <w:left w:val="single" w:color="auto" w:sz="4" w:space="0"/>
              <w:bottom w:val="single" w:color="000000" w:sz="4" w:space="0"/>
              <w:right w:val="single" w:color="auto" w:sz="4" w:space="0"/>
            </w:tcBorders>
            <w:noWrap w:val="0"/>
            <w:vAlign w:val="center"/>
          </w:tcPr>
          <w:p w14:paraId="575C8F6E">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14:paraId="1AA0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noWrap w:val="0"/>
            <w:vAlign w:val="center"/>
          </w:tcPr>
          <w:p w14:paraId="21D532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45" w:type="pct"/>
            <w:noWrap w:val="0"/>
            <w:vAlign w:val="center"/>
          </w:tcPr>
          <w:p w14:paraId="01562AD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134" w:type="pct"/>
            <w:noWrap w:val="0"/>
            <w:vAlign w:val="center"/>
          </w:tcPr>
          <w:p w14:paraId="4E9C2D8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684" w:type="pct"/>
            <w:noWrap w:val="0"/>
            <w:vAlign w:val="center"/>
          </w:tcPr>
          <w:p w14:paraId="3AD4F4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630" w:type="pct"/>
            <w:noWrap w:val="0"/>
            <w:vAlign w:val="center"/>
          </w:tcPr>
          <w:p w14:paraId="55206E7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311" w:type="pct"/>
            <w:noWrap w:val="0"/>
            <w:vAlign w:val="center"/>
          </w:tcPr>
          <w:p w14:paraId="376844A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37" w:type="pct"/>
            <w:noWrap w:val="0"/>
            <w:vAlign w:val="center"/>
          </w:tcPr>
          <w:p w14:paraId="40274A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24408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restart"/>
            <w:noWrap w:val="0"/>
            <w:vAlign w:val="center"/>
          </w:tcPr>
          <w:p w14:paraId="02EA64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845" w:type="pct"/>
            <w:noWrap w:val="0"/>
            <w:vAlign w:val="center"/>
          </w:tcPr>
          <w:p w14:paraId="398913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134" w:type="pct"/>
            <w:noWrap w:val="0"/>
            <w:vAlign w:val="center"/>
          </w:tcPr>
          <w:p w14:paraId="09B0AD8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23742.42</w:t>
            </w:r>
            <w:r>
              <w:rPr>
                <w:rFonts w:hint="eastAsia" w:ascii="宋体" w:hAnsi="宋体" w:cs="宋体"/>
                <w:color w:val="000000"/>
                <w:kern w:val="0"/>
                <w:sz w:val="20"/>
                <w:szCs w:val="20"/>
              </w:rPr>
              <w:t>　</w:t>
            </w:r>
          </w:p>
        </w:tc>
        <w:tc>
          <w:tcPr>
            <w:tcW w:w="684" w:type="pct"/>
            <w:noWrap w:val="0"/>
            <w:vAlign w:val="center"/>
          </w:tcPr>
          <w:p w14:paraId="08628C36">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23484.04</w:t>
            </w:r>
          </w:p>
        </w:tc>
        <w:tc>
          <w:tcPr>
            <w:tcW w:w="630" w:type="pct"/>
            <w:noWrap w:val="0"/>
            <w:vAlign w:val="center"/>
          </w:tcPr>
          <w:p w14:paraId="555A145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98.91%</w:t>
            </w:r>
            <w:r>
              <w:rPr>
                <w:rFonts w:hint="eastAsia" w:ascii="宋体" w:hAnsi="宋体" w:cs="宋体"/>
                <w:color w:val="000000"/>
                <w:kern w:val="0"/>
                <w:sz w:val="20"/>
                <w:szCs w:val="20"/>
              </w:rPr>
              <w:t>　</w:t>
            </w:r>
          </w:p>
        </w:tc>
        <w:tc>
          <w:tcPr>
            <w:tcW w:w="311" w:type="pct"/>
            <w:vMerge w:val="restart"/>
            <w:noWrap/>
            <w:vAlign w:val="center"/>
          </w:tcPr>
          <w:p w14:paraId="4FC595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437" w:type="pct"/>
            <w:vMerge w:val="restart"/>
            <w:noWrap/>
            <w:vAlign w:val="center"/>
          </w:tcPr>
          <w:p w14:paraId="7E5A08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19.78</w:t>
            </w:r>
            <w:r>
              <w:rPr>
                <w:rFonts w:hint="eastAsia" w:ascii="宋体" w:hAnsi="宋体" w:cs="宋体"/>
                <w:color w:val="000000"/>
                <w:kern w:val="0"/>
                <w:sz w:val="20"/>
                <w:szCs w:val="20"/>
              </w:rPr>
              <w:t>　</w:t>
            </w:r>
          </w:p>
        </w:tc>
      </w:tr>
      <w:tr w14:paraId="0BE99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5A0A3323">
            <w:pPr>
              <w:widowControl/>
              <w:jc w:val="left"/>
              <w:rPr>
                <w:rFonts w:ascii="宋体" w:hAnsi="宋体" w:cs="宋体"/>
                <w:color w:val="000000"/>
                <w:kern w:val="0"/>
                <w:sz w:val="20"/>
                <w:szCs w:val="20"/>
              </w:rPr>
            </w:pPr>
          </w:p>
        </w:tc>
        <w:tc>
          <w:tcPr>
            <w:tcW w:w="845" w:type="pct"/>
            <w:noWrap w:val="0"/>
            <w:vAlign w:val="center"/>
          </w:tcPr>
          <w:p w14:paraId="0DA7A1F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134" w:type="pct"/>
            <w:noWrap w:val="0"/>
            <w:vAlign w:val="center"/>
          </w:tcPr>
          <w:p w14:paraId="78D4E02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17300.68</w:t>
            </w:r>
            <w:r>
              <w:rPr>
                <w:rFonts w:hint="eastAsia" w:ascii="宋体" w:hAnsi="宋体" w:cs="宋体"/>
                <w:color w:val="000000"/>
                <w:kern w:val="0"/>
                <w:sz w:val="20"/>
                <w:szCs w:val="20"/>
              </w:rPr>
              <w:t>　</w:t>
            </w:r>
          </w:p>
        </w:tc>
        <w:tc>
          <w:tcPr>
            <w:tcW w:w="684" w:type="pct"/>
            <w:noWrap w:val="0"/>
            <w:vAlign w:val="center"/>
          </w:tcPr>
          <w:p w14:paraId="53BC461B">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17129.61</w:t>
            </w:r>
          </w:p>
        </w:tc>
        <w:tc>
          <w:tcPr>
            <w:tcW w:w="630" w:type="pct"/>
            <w:noWrap w:val="0"/>
            <w:vAlign w:val="center"/>
          </w:tcPr>
          <w:p w14:paraId="43599910">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99.01%</w:t>
            </w:r>
          </w:p>
        </w:tc>
        <w:tc>
          <w:tcPr>
            <w:tcW w:w="311" w:type="pct"/>
            <w:vMerge w:val="continue"/>
            <w:noWrap w:val="0"/>
            <w:vAlign w:val="center"/>
          </w:tcPr>
          <w:p w14:paraId="5648BD04">
            <w:pPr>
              <w:widowControl/>
              <w:jc w:val="left"/>
              <w:rPr>
                <w:rFonts w:ascii="宋体" w:hAnsi="宋体" w:cs="宋体"/>
                <w:color w:val="000000"/>
                <w:kern w:val="0"/>
                <w:sz w:val="20"/>
                <w:szCs w:val="20"/>
              </w:rPr>
            </w:pPr>
          </w:p>
        </w:tc>
        <w:tc>
          <w:tcPr>
            <w:tcW w:w="437" w:type="pct"/>
            <w:vMerge w:val="continue"/>
            <w:noWrap w:val="0"/>
            <w:vAlign w:val="center"/>
          </w:tcPr>
          <w:p w14:paraId="596B8DBF">
            <w:pPr>
              <w:widowControl/>
              <w:jc w:val="left"/>
              <w:rPr>
                <w:rFonts w:ascii="宋体" w:hAnsi="宋体" w:cs="宋体"/>
                <w:color w:val="000000"/>
                <w:kern w:val="0"/>
                <w:sz w:val="20"/>
                <w:szCs w:val="20"/>
              </w:rPr>
            </w:pPr>
          </w:p>
        </w:tc>
      </w:tr>
      <w:tr w14:paraId="04819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36034954">
            <w:pPr>
              <w:widowControl/>
              <w:jc w:val="left"/>
              <w:rPr>
                <w:rFonts w:ascii="宋体" w:hAnsi="宋体" w:cs="宋体"/>
                <w:color w:val="000000"/>
                <w:kern w:val="0"/>
                <w:sz w:val="20"/>
                <w:szCs w:val="20"/>
              </w:rPr>
            </w:pPr>
          </w:p>
        </w:tc>
        <w:tc>
          <w:tcPr>
            <w:tcW w:w="845" w:type="pct"/>
            <w:noWrap w:val="0"/>
            <w:vAlign w:val="center"/>
          </w:tcPr>
          <w:p w14:paraId="44FE7E6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134" w:type="pct"/>
            <w:noWrap w:val="0"/>
            <w:vAlign w:val="center"/>
          </w:tcPr>
          <w:p w14:paraId="77C0229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6441.74</w:t>
            </w:r>
          </w:p>
        </w:tc>
        <w:tc>
          <w:tcPr>
            <w:tcW w:w="684" w:type="pct"/>
            <w:noWrap w:val="0"/>
            <w:vAlign w:val="center"/>
          </w:tcPr>
          <w:p w14:paraId="321E52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6354.43</w:t>
            </w:r>
            <w:r>
              <w:rPr>
                <w:rFonts w:hint="eastAsia" w:ascii="宋体" w:hAnsi="宋体" w:cs="宋体"/>
                <w:color w:val="000000"/>
                <w:kern w:val="0"/>
                <w:sz w:val="20"/>
                <w:szCs w:val="20"/>
              </w:rPr>
              <w:t>　</w:t>
            </w:r>
          </w:p>
        </w:tc>
        <w:tc>
          <w:tcPr>
            <w:tcW w:w="630" w:type="pct"/>
            <w:noWrap w:val="0"/>
            <w:vAlign w:val="center"/>
          </w:tcPr>
          <w:p w14:paraId="3F0AA3F4">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98.64%</w:t>
            </w:r>
          </w:p>
        </w:tc>
        <w:tc>
          <w:tcPr>
            <w:tcW w:w="311" w:type="pct"/>
            <w:vMerge w:val="continue"/>
            <w:noWrap w:val="0"/>
            <w:vAlign w:val="center"/>
          </w:tcPr>
          <w:p w14:paraId="13DA3B43">
            <w:pPr>
              <w:widowControl/>
              <w:jc w:val="left"/>
              <w:rPr>
                <w:rFonts w:ascii="宋体" w:hAnsi="宋体" w:cs="宋体"/>
                <w:color w:val="000000"/>
                <w:kern w:val="0"/>
                <w:sz w:val="20"/>
                <w:szCs w:val="20"/>
              </w:rPr>
            </w:pPr>
          </w:p>
        </w:tc>
        <w:tc>
          <w:tcPr>
            <w:tcW w:w="437" w:type="pct"/>
            <w:vMerge w:val="continue"/>
            <w:noWrap w:val="0"/>
            <w:vAlign w:val="center"/>
          </w:tcPr>
          <w:p w14:paraId="33753F43">
            <w:pPr>
              <w:widowControl/>
              <w:jc w:val="left"/>
              <w:rPr>
                <w:rFonts w:ascii="宋体" w:hAnsi="宋体" w:cs="宋体"/>
                <w:color w:val="000000"/>
                <w:kern w:val="0"/>
                <w:sz w:val="20"/>
                <w:szCs w:val="20"/>
              </w:rPr>
            </w:pPr>
          </w:p>
        </w:tc>
      </w:tr>
      <w:tr w14:paraId="2A0B5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00" w:type="pct"/>
            <w:gridSpan w:val="7"/>
            <w:noWrap w:val="0"/>
            <w:vAlign w:val="center"/>
          </w:tcPr>
          <w:p w14:paraId="4883A7F9">
            <w:pPr>
              <w:widowControl/>
              <w:jc w:val="left"/>
              <w:rPr>
                <w:rFonts w:ascii="宋体" w:hAnsi="宋体" w:cs="宋体"/>
                <w:color w:val="000000"/>
                <w:kern w:val="0"/>
                <w:sz w:val="20"/>
                <w:szCs w:val="20"/>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14:paraId="68426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noWrap w:val="0"/>
            <w:vAlign w:val="center"/>
          </w:tcPr>
          <w:p w14:paraId="34B231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845" w:type="pct"/>
            <w:noWrap w:val="0"/>
            <w:vAlign w:val="center"/>
          </w:tcPr>
          <w:p w14:paraId="5FCC89E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134" w:type="pct"/>
            <w:noWrap w:val="0"/>
            <w:vAlign w:val="center"/>
          </w:tcPr>
          <w:p w14:paraId="63048E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84" w:type="pct"/>
            <w:noWrap w:val="0"/>
            <w:vAlign w:val="center"/>
          </w:tcPr>
          <w:p w14:paraId="3191A7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630" w:type="pct"/>
            <w:noWrap w:val="0"/>
            <w:vAlign w:val="center"/>
          </w:tcPr>
          <w:p w14:paraId="7E05B3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311" w:type="pct"/>
            <w:noWrap w:val="0"/>
            <w:vAlign w:val="center"/>
          </w:tcPr>
          <w:p w14:paraId="164195A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37" w:type="pct"/>
            <w:noWrap w:val="0"/>
            <w:vAlign w:val="center"/>
          </w:tcPr>
          <w:p w14:paraId="63BAE8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02C12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restart"/>
            <w:noWrap w:val="0"/>
            <w:vAlign w:val="center"/>
          </w:tcPr>
          <w:p w14:paraId="7142B7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845" w:type="pct"/>
            <w:vMerge w:val="restart"/>
            <w:noWrap w:val="0"/>
            <w:vAlign w:val="center"/>
          </w:tcPr>
          <w:p w14:paraId="1E2E1F89">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1134" w:type="pct"/>
            <w:noWrap w:val="0"/>
            <w:vAlign w:val="center"/>
          </w:tcPr>
          <w:p w14:paraId="5B5570B3">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计划完成率</w:t>
            </w:r>
          </w:p>
        </w:tc>
        <w:tc>
          <w:tcPr>
            <w:tcW w:w="684" w:type="pct"/>
            <w:noWrap w:val="0"/>
            <w:vAlign w:val="center"/>
          </w:tcPr>
          <w:p w14:paraId="40CE1819">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630" w:type="pct"/>
            <w:noWrap w:val="0"/>
            <w:vAlign w:val="center"/>
          </w:tcPr>
          <w:p w14:paraId="5018D7A8">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311" w:type="pct"/>
            <w:vMerge w:val="restart"/>
            <w:noWrap w:val="0"/>
            <w:vAlign w:val="center"/>
          </w:tcPr>
          <w:p w14:paraId="327BB432">
            <w:pPr>
              <w:widowControl/>
              <w:jc w:val="center"/>
              <w:rPr>
                <w:rFonts w:ascii="宋体" w:hAnsi="宋体" w:cs="宋体"/>
                <w:color w:val="000000"/>
                <w:kern w:val="0"/>
                <w:sz w:val="20"/>
                <w:szCs w:val="20"/>
              </w:rPr>
            </w:pPr>
          </w:p>
          <w:p w14:paraId="411A437B">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437" w:type="pct"/>
            <w:noWrap w:val="0"/>
            <w:vAlign w:val="center"/>
          </w:tcPr>
          <w:p w14:paraId="566B597D">
            <w:pPr>
              <w:jc w:val="center"/>
              <w:rPr>
                <w:rFonts w:hint="default" w:ascii="宋体" w:hAnsi="宋体" w:eastAsia="宋体" w:cs="宋体"/>
                <w:color w:val="000000"/>
                <w:kern w:val="0"/>
                <w:sz w:val="20"/>
                <w:szCs w:val="20"/>
                <w:lang w:val="en-US" w:eastAsia="zh-CN"/>
              </w:rPr>
            </w:pPr>
            <w:bookmarkStart w:id="0" w:name="OLE_LINK1"/>
            <w:r>
              <w:rPr>
                <w:rFonts w:hint="eastAsia" w:ascii="宋体" w:hAnsi="宋体" w:cs="宋体"/>
                <w:color w:val="000000"/>
                <w:kern w:val="0"/>
                <w:sz w:val="20"/>
                <w:szCs w:val="20"/>
                <w:lang w:val="en-US" w:eastAsia="zh-CN"/>
              </w:rPr>
              <w:t>7.5</w:t>
            </w:r>
            <w:bookmarkEnd w:id="0"/>
          </w:p>
        </w:tc>
      </w:tr>
      <w:tr w14:paraId="7F4EA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088673EA">
            <w:pPr>
              <w:widowControl/>
              <w:jc w:val="left"/>
              <w:rPr>
                <w:rFonts w:ascii="宋体" w:hAnsi="宋体" w:cs="宋体"/>
                <w:color w:val="000000"/>
                <w:kern w:val="0"/>
                <w:sz w:val="20"/>
                <w:szCs w:val="20"/>
              </w:rPr>
            </w:pPr>
          </w:p>
        </w:tc>
        <w:tc>
          <w:tcPr>
            <w:tcW w:w="845" w:type="pct"/>
            <w:vMerge w:val="continue"/>
            <w:noWrap w:val="0"/>
            <w:vAlign w:val="center"/>
          </w:tcPr>
          <w:p w14:paraId="07017F09">
            <w:pPr>
              <w:widowControl/>
              <w:jc w:val="left"/>
              <w:rPr>
                <w:rFonts w:ascii="宋体" w:hAnsi="宋体" w:cs="宋体"/>
                <w:color w:val="000000"/>
                <w:kern w:val="0"/>
                <w:sz w:val="20"/>
                <w:szCs w:val="20"/>
              </w:rPr>
            </w:pPr>
          </w:p>
        </w:tc>
        <w:tc>
          <w:tcPr>
            <w:tcW w:w="1134" w:type="pct"/>
            <w:shd w:val="clear" w:color="auto" w:fill="auto"/>
            <w:noWrap w:val="0"/>
            <w:vAlign w:val="center"/>
          </w:tcPr>
          <w:p w14:paraId="4C685CE8">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质量达标率</w:t>
            </w:r>
          </w:p>
        </w:tc>
        <w:tc>
          <w:tcPr>
            <w:tcW w:w="684" w:type="pct"/>
            <w:shd w:val="clear" w:color="auto" w:fill="auto"/>
            <w:noWrap w:val="0"/>
            <w:vAlign w:val="center"/>
          </w:tcPr>
          <w:p w14:paraId="4FBD31D2">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630" w:type="pct"/>
            <w:shd w:val="clear" w:color="auto" w:fill="auto"/>
            <w:noWrap w:val="0"/>
            <w:vAlign w:val="center"/>
          </w:tcPr>
          <w:p w14:paraId="13338D36">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311" w:type="pct"/>
            <w:vMerge w:val="continue"/>
            <w:noWrap w:val="0"/>
            <w:vAlign w:val="center"/>
          </w:tcPr>
          <w:p w14:paraId="01987AC2">
            <w:pPr>
              <w:widowControl/>
              <w:jc w:val="left"/>
              <w:rPr>
                <w:rFonts w:ascii="宋体" w:hAnsi="宋体" w:cs="宋体"/>
                <w:color w:val="000000"/>
                <w:kern w:val="0"/>
                <w:sz w:val="20"/>
                <w:szCs w:val="20"/>
              </w:rPr>
            </w:pPr>
          </w:p>
        </w:tc>
        <w:tc>
          <w:tcPr>
            <w:tcW w:w="437" w:type="pct"/>
            <w:noWrap/>
            <w:vAlign w:val="center"/>
          </w:tcPr>
          <w:p w14:paraId="6C1385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7.5</w:t>
            </w:r>
          </w:p>
        </w:tc>
      </w:tr>
      <w:tr w14:paraId="6A0C3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2288919C">
            <w:pPr>
              <w:widowControl/>
              <w:jc w:val="left"/>
              <w:rPr>
                <w:rFonts w:ascii="宋体" w:hAnsi="宋体" w:cs="宋体"/>
                <w:color w:val="000000"/>
                <w:kern w:val="0"/>
                <w:sz w:val="20"/>
                <w:szCs w:val="20"/>
              </w:rPr>
            </w:pPr>
          </w:p>
        </w:tc>
        <w:tc>
          <w:tcPr>
            <w:tcW w:w="845" w:type="pct"/>
            <w:vMerge w:val="continue"/>
            <w:noWrap w:val="0"/>
            <w:vAlign w:val="center"/>
          </w:tcPr>
          <w:p w14:paraId="29B38254">
            <w:pPr>
              <w:widowControl/>
              <w:jc w:val="left"/>
              <w:rPr>
                <w:rFonts w:ascii="宋体" w:hAnsi="宋体" w:cs="宋体"/>
                <w:color w:val="000000"/>
                <w:kern w:val="0"/>
                <w:sz w:val="20"/>
                <w:szCs w:val="20"/>
              </w:rPr>
            </w:pPr>
          </w:p>
        </w:tc>
        <w:tc>
          <w:tcPr>
            <w:tcW w:w="1134" w:type="pct"/>
            <w:shd w:val="clear" w:color="auto" w:fill="auto"/>
            <w:noWrap w:val="0"/>
            <w:vAlign w:val="center"/>
          </w:tcPr>
          <w:p w14:paraId="56012E6B">
            <w:pPr>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按时完成率</w:t>
            </w:r>
          </w:p>
        </w:tc>
        <w:tc>
          <w:tcPr>
            <w:tcW w:w="684" w:type="pct"/>
            <w:shd w:val="clear" w:color="auto" w:fill="auto"/>
            <w:noWrap w:val="0"/>
            <w:vAlign w:val="center"/>
          </w:tcPr>
          <w:p w14:paraId="3451A74C">
            <w:pPr>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=100%</w:t>
            </w:r>
          </w:p>
        </w:tc>
        <w:tc>
          <w:tcPr>
            <w:tcW w:w="630" w:type="pct"/>
            <w:shd w:val="clear" w:color="auto" w:fill="auto"/>
            <w:noWrap w:val="0"/>
            <w:vAlign w:val="center"/>
          </w:tcPr>
          <w:p w14:paraId="38909525">
            <w:pPr>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95%</w:t>
            </w:r>
          </w:p>
        </w:tc>
        <w:tc>
          <w:tcPr>
            <w:tcW w:w="311" w:type="pct"/>
            <w:vMerge w:val="continue"/>
            <w:noWrap w:val="0"/>
            <w:vAlign w:val="center"/>
          </w:tcPr>
          <w:p w14:paraId="7871CFD4">
            <w:pPr>
              <w:widowControl/>
              <w:jc w:val="left"/>
              <w:rPr>
                <w:rFonts w:ascii="宋体" w:hAnsi="宋体" w:cs="宋体"/>
                <w:color w:val="000000"/>
                <w:kern w:val="0"/>
                <w:sz w:val="20"/>
                <w:szCs w:val="20"/>
              </w:rPr>
            </w:pPr>
          </w:p>
        </w:tc>
        <w:tc>
          <w:tcPr>
            <w:tcW w:w="437" w:type="pct"/>
            <w:noWrap/>
            <w:vAlign w:val="center"/>
          </w:tcPr>
          <w:p w14:paraId="5042ECBC">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5.5</w:t>
            </w:r>
          </w:p>
        </w:tc>
      </w:tr>
      <w:tr w14:paraId="63C87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jc w:val="center"/>
        </w:trPr>
        <w:tc>
          <w:tcPr>
            <w:tcW w:w="955" w:type="pct"/>
            <w:vMerge w:val="continue"/>
            <w:noWrap w:val="0"/>
            <w:vAlign w:val="center"/>
          </w:tcPr>
          <w:p w14:paraId="0F4D145B">
            <w:pPr>
              <w:widowControl/>
              <w:jc w:val="left"/>
              <w:rPr>
                <w:rFonts w:ascii="宋体" w:hAnsi="宋体" w:cs="宋体"/>
                <w:color w:val="000000"/>
                <w:kern w:val="0"/>
                <w:sz w:val="20"/>
                <w:szCs w:val="20"/>
              </w:rPr>
            </w:pPr>
          </w:p>
        </w:tc>
        <w:tc>
          <w:tcPr>
            <w:tcW w:w="845" w:type="pct"/>
            <w:vMerge w:val="continue"/>
            <w:noWrap w:val="0"/>
            <w:vAlign w:val="center"/>
          </w:tcPr>
          <w:p w14:paraId="48F7ED16">
            <w:pPr>
              <w:widowControl/>
              <w:jc w:val="left"/>
              <w:rPr>
                <w:rFonts w:ascii="宋体" w:hAnsi="宋体" w:cs="宋体"/>
                <w:color w:val="000000"/>
                <w:kern w:val="0"/>
                <w:sz w:val="20"/>
                <w:szCs w:val="20"/>
              </w:rPr>
            </w:pPr>
          </w:p>
        </w:tc>
        <w:tc>
          <w:tcPr>
            <w:tcW w:w="1134" w:type="pct"/>
            <w:shd w:val="clear" w:color="auto" w:fill="auto"/>
            <w:noWrap w:val="0"/>
            <w:vAlign w:val="center"/>
          </w:tcPr>
          <w:p w14:paraId="54996042">
            <w:pPr>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成本控制情况</w:t>
            </w:r>
          </w:p>
        </w:tc>
        <w:tc>
          <w:tcPr>
            <w:tcW w:w="684" w:type="pct"/>
            <w:shd w:val="clear" w:color="auto" w:fill="auto"/>
            <w:noWrap w:val="0"/>
            <w:vAlign w:val="center"/>
          </w:tcPr>
          <w:p w14:paraId="409FA0B3">
            <w:pPr>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优</w:t>
            </w:r>
          </w:p>
        </w:tc>
        <w:tc>
          <w:tcPr>
            <w:tcW w:w="630" w:type="pct"/>
            <w:shd w:val="clear" w:color="auto" w:fill="auto"/>
            <w:noWrap w:val="0"/>
            <w:vAlign w:val="center"/>
          </w:tcPr>
          <w:p w14:paraId="2A981C57">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优</w:t>
            </w:r>
          </w:p>
        </w:tc>
        <w:tc>
          <w:tcPr>
            <w:tcW w:w="311" w:type="pct"/>
            <w:vMerge w:val="continue"/>
            <w:noWrap w:val="0"/>
            <w:vAlign w:val="center"/>
          </w:tcPr>
          <w:p w14:paraId="0853E516">
            <w:pPr>
              <w:widowControl/>
              <w:jc w:val="left"/>
              <w:rPr>
                <w:rFonts w:ascii="宋体" w:hAnsi="宋体" w:cs="宋体"/>
                <w:color w:val="000000"/>
                <w:kern w:val="0"/>
                <w:sz w:val="20"/>
                <w:szCs w:val="20"/>
              </w:rPr>
            </w:pPr>
          </w:p>
        </w:tc>
        <w:tc>
          <w:tcPr>
            <w:tcW w:w="437" w:type="pct"/>
            <w:noWrap/>
            <w:vAlign w:val="center"/>
          </w:tcPr>
          <w:p w14:paraId="04F5C7B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7.5</w:t>
            </w:r>
          </w:p>
        </w:tc>
      </w:tr>
      <w:tr w14:paraId="414B8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exact"/>
          <w:jc w:val="center"/>
        </w:trPr>
        <w:tc>
          <w:tcPr>
            <w:tcW w:w="955" w:type="pct"/>
            <w:vMerge w:val="continue"/>
            <w:noWrap w:val="0"/>
            <w:vAlign w:val="center"/>
          </w:tcPr>
          <w:p w14:paraId="184A666C">
            <w:pPr>
              <w:widowControl/>
              <w:jc w:val="left"/>
              <w:rPr>
                <w:rFonts w:ascii="宋体" w:hAnsi="宋体" w:cs="宋体"/>
                <w:color w:val="000000"/>
                <w:kern w:val="0"/>
                <w:sz w:val="20"/>
                <w:szCs w:val="20"/>
              </w:rPr>
            </w:pPr>
          </w:p>
        </w:tc>
        <w:tc>
          <w:tcPr>
            <w:tcW w:w="845" w:type="pct"/>
            <w:vMerge w:val="restart"/>
            <w:noWrap w:val="0"/>
            <w:vAlign w:val="center"/>
          </w:tcPr>
          <w:p w14:paraId="1344793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1134" w:type="pct"/>
            <w:shd w:val="clear" w:color="auto" w:fill="auto"/>
            <w:noWrap w:val="0"/>
            <w:vAlign w:val="center"/>
          </w:tcPr>
          <w:p w14:paraId="450E72FE">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社会效益</w:t>
            </w:r>
          </w:p>
        </w:tc>
        <w:tc>
          <w:tcPr>
            <w:tcW w:w="684" w:type="pct"/>
            <w:noWrap w:val="0"/>
            <w:vAlign w:val="center"/>
          </w:tcPr>
          <w:p w14:paraId="32CB00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优</w:t>
            </w:r>
            <w:r>
              <w:rPr>
                <w:rFonts w:hint="eastAsia" w:ascii="宋体" w:hAnsi="宋体" w:cs="宋体"/>
                <w:color w:val="000000"/>
                <w:kern w:val="0"/>
                <w:sz w:val="20"/>
                <w:szCs w:val="20"/>
              </w:rPr>
              <w:t>　</w:t>
            </w:r>
          </w:p>
        </w:tc>
        <w:tc>
          <w:tcPr>
            <w:tcW w:w="630" w:type="pct"/>
            <w:noWrap w:val="0"/>
            <w:vAlign w:val="center"/>
          </w:tcPr>
          <w:p w14:paraId="2CA7C187">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优</w:t>
            </w:r>
            <w:r>
              <w:rPr>
                <w:rFonts w:hint="eastAsia" w:ascii="宋体" w:hAnsi="宋体" w:cs="宋体"/>
                <w:color w:val="000000"/>
                <w:kern w:val="0"/>
                <w:sz w:val="20"/>
                <w:szCs w:val="20"/>
              </w:rPr>
              <w:t>　</w:t>
            </w:r>
          </w:p>
        </w:tc>
        <w:tc>
          <w:tcPr>
            <w:tcW w:w="311" w:type="pct"/>
            <w:vMerge w:val="restart"/>
            <w:noWrap/>
            <w:vAlign w:val="center"/>
          </w:tcPr>
          <w:p w14:paraId="377E6E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437" w:type="pct"/>
            <w:noWrap/>
            <w:vAlign w:val="center"/>
          </w:tcPr>
          <w:p w14:paraId="3DACC8C6">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w:t>
            </w:r>
          </w:p>
        </w:tc>
      </w:tr>
      <w:tr w14:paraId="2BC85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10B69B01">
            <w:pPr>
              <w:widowControl/>
              <w:jc w:val="left"/>
              <w:rPr>
                <w:rFonts w:ascii="宋体" w:hAnsi="宋体" w:cs="宋体"/>
                <w:color w:val="000000"/>
                <w:kern w:val="0"/>
                <w:sz w:val="20"/>
                <w:szCs w:val="20"/>
              </w:rPr>
            </w:pPr>
          </w:p>
        </w:tc>
        <w:tc>
          <w:tcPr>
            <w:tcW w:w="845" w:type="pct"/>
            <w:vMerge w:val="continue"/>
            <w:noWrap w:val="0"/>
            <w:vAlign w:val="center"/>
          </w:tcPr>
          <w:p w14:paraId="291554BC">
            <w:pPr>
              <w:widowControl/>
              <w:jc w:val="left"/>
              <w:rPr>
                <w:rFonts w:ascii="宋体" w:hAnsi="宋体" w:cs="宋体"/>
                <w:color w:val="000000"/>
                <w:kern w:val="0"/>
                <w:sz w:val="20"/>
                <w:szCs w:val="20"/>
              </w:rPr>
            </w:pPr>
          </w:p>
        </w:tc>
        <w:tc>
          <w:tcPr>
            <w:tcW w:w="1134" w:type="pct"/>
            <w:shd w:val="clear" w:color="auto" w:fill="auto"/>
            <w:noWrap w:val="0"/>
            <w:vAlign w:val="center"/>
          </w:tcPr>
          <w:p w14:paraId="0265D8FF">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可持续影响</w:t>
            </w:r>
          </w:p>
        </w:tc>
        <w:tc>
          <w:tcPr>
            <w:tcW w:w="684" w:type="pct"/>
            <w:shd w:val="clear" w:color="auto" w:fill="auto"/>
            <w:noWrap w:val="0"/>
            <w:vAlign w:val="center"/>
          </w:tcPr>
          <w:p w14:paraId="139F8482">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优</w:t>
            </w:r>
          </w:p>
        </w:tc>
        <w:tc>
          <w:tcPr>
            <w:tcW w:w="630" w:type="pct"/>
            <w:shd w:val="clear" w:color="auto" w:fill="auto"/>
            <w:noWrap w:val="0"/>
            <w:vAlign w:val="center"/>
          </w:tcPr>
          <w:p w14:paraId="538FDBDE">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优</w:t>
            </w:r>
          </w:p>
        </w:tc>
        <w:tc>
          <w:tcPr>
            <w:tcW w:w="311" w:type="pct"/>
            <w:vMerge w:val="continue"/>
            <w:noWrap w:val="0"/>
            <w:vAlign w:val="center"/>
          </w:tcPr>
          <w:p w14:paraId="60FEBE5C">
            <w:pPr>
              <w:widowControl/>
              <w:jc w:val="left"/>
              <w:rPr>
                <w:rFonts w:ascii="宋体" w:hAnsi="宋体" w:cs="宋体"/>
                <w:color w:val="000000"/>
                <w:kern w:val="0"/>
                <w:sz w:val="20"/>
                <w:szCs w:val="20"/>
              </w:rPr>
            </w:pPr>
          </w:p>
        </w:tc>
        <w:tc>
          <w:tcPr>
            <w:tcW w:w="437" w:type="pct"/>
            <w:noWrap/>
            <w:vAlign w:val="center"/>
          </w:tcPr>
          <w:p w14:paraId="44C44DF0">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w:t>
            </w:r>
          </w:p>
        </w:tc>
      </w:tr>
      <w:tr w14:paraId="063B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exact"/>
          <w:jc w:val="center"/>
        </w:trPr>
        <w:tc>
          <w:tcPr>
            <w:tcW w:w="955" w:type="pct"/>
            <w:vMerge w:val="continue"/>
            <w:noWrap w:val="0"/>
            <w:vAlign w:val="center"/>
          </w:tcPr>
          <w:p w14:paraId="0BD76AD7">
            <w:pPr>
              <w:widowControl/>
              <w:jc w:val="left"/>
              <w:rPr>
                <w:rFonts w:ascii="宋体" w:hAnsi="宋体" w:cs="宋体"/>
                <w:color w:val="000000"/>
                <w:kern w:val="0"/>
                <w:sz w:val="20"/>
                <w:szCs w:val="20"/>
              </w:rPr>
            </w:pPr>
          </w:p>
        </w:tc>
        <w:tc>
          <w:tcPr>
            <w:tcW w:w="845" w:type="pct"/>
            <w:vMerge w:val="continue"/>
            <w:noWrap w:val="0"/>
            <w:vAlign w:val="center"/>
          </w:tcPr>
          <w:p w14:paraId="673A359C">
            <w:pPr>
              <w:widowControl/>
              <w:jc w:val="left"/>
              <w:rPr>
                <w:rFonts w:ascii="宋体" w:hAnsi="宋体" w:cs="宋体"/>
                <w:color w:val="000000"/>
                <w:kern w:val="0"/>
                <w:sz w:val="20"/>
                <w:szCs w:val="20"/>
              </w:rPr>
            </w:pPr>
          </w:p>
        </w:tc>
        <w:tc>
          <w:tcPr>
            <w:tcW w:w="1134" w:type="pct"/>
            <w:shd w:val="clear" w:color="auto" w:fill="auto"/>
            <w:noWrap w:val="0"/>
            <w:vAlign w:val="center"/>
          </w:tcPr>
          <w:p w14:paraId="633F12C8">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服务对象满意度</w:t>
            </w:r>
          </w:p>
        </w:tc>
        <w:tc>
          <w:tcPr>
            <w:tcW w:w="684" w:type="pct"/>
            <w:shd w:val="clear" w:color="auto" w:fill="auto"/>
            <w:noWrap w:val="0"/>
            <w:vAlign w:val="center"/>
          </w:tcPr>
          <w:p w14:paraId="74B27B2D">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≥95%</w:t>
            </w:r>
            <w:r>
              <w:rPr>
                <w:rFonts w:hint="eastAsia" w:ascii="宋体" w:hAnsi="宋体" w:cs="宋体"/>
                <w:color w:val="000000"/>
                <w:kern w:val="0"/>
                <w:sz w:val="20"/>
                <w:szCs w:val="20"/>
              </w:rPr>
              <w:t>　</w:t>
            </w:r>
          </w:p>
        </w:tc>
        <w:tc>
          <w:tcPr>
            <w:tcW w:w="630" w:type="pct"/>
            <w:shd w:val="clear" w:color="auto" w:fill="auto"/>
            <w:noWrap w:val="0"/>
            <w:vAlign w:val="center"/>
          </w:tcPr>
          <w:p w14:paraId="48B6C496">
            <w:pPr>
              <w:widowControl/>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95%</w:t>
            </w:r>
            <w:r>
              <w:rPr>
                <w:rFonts w:hint="eastAsia" w:ascii="宋体" w:hAnsi="宋体" w:cs="宋体"/>
                <w:color w:val="000000"/>
                <w:kern w:val="0"/>
                <w:sz w:val="20"/>
                <w:szCs w:val="20"/>
              </w:rPr>
              <w:t>　</w:t>
            </w:r>
          </w:p>
        </w:tc>
        <w:tc>
          <w:tcPr>
            <w:tcW w:w="311" w:type="pct"/>
            <w:vMerge w:val="continue"/>
            <w:noWrap w:val="0"/>
            <w:vAlign w:val="center"/>
          </w:tcPr>
          <w:p w14:paraId="52731DE6">
            <w:pPr>
              <w:widowControl/>
              <w:jc w:val="left"/>
              <w:rPr>
                <w:rFonts w:ascii="宋体" w:hAnsi="宋体" w:cs="宋体"/>
                <w:color w:val="000000"/>
                <w:kern w:val="0"/>
                <w:sz w:val="20"/>
                <w:szCs w:val="20"/>
              </w:rPr>
            </w:pPr>
          </w:p>
        </w:tc>
        <w:tc>
          <w:tcPr>
            <w:tcW w:w="437" w:type="pct"/>
            <w:noWrap/>
            <w:vAlign w:val="center"/>
          </w:tcPr>
          <w:p w14:paraId="5549A89C">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w:t>
            </w:r>
          </w:p>
        </w:tc>
      </w:tr>
      <w:tr w14:paraId="153F6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00" w:type="pct"/>
            <w:gridSpan w:val="7"/>
            <w:noWrap w:val="0"/>
            <w:vAlign w:val="center"/>
          </w:tcPr>
          <w:p w14:paraId="481445D2">
            <w:pPr>
              <w:widowControl/>
              <w:jc w:val="left"/>
              <w:rPr>
                <w:rFonts w:hint="eastAsia" w:ascii="宋体" w:hAnsi="宋体" w:cs="宋体"/>
                <w:color w:val="000000"/>
                <w:kern w:val="0"/>
                <w:sz w:val="20"/>
                <w:szCs w:val="20"/>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14:paraId="3A2F8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noWrap w:val="0"/>
            <w:vAlign w:val="center"/>
          </w:tcPr>
          <w:p w14:paraId="547180D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845" w:type="pct"/>
            <w:noWrap w:val="0"/>
            <w:vAlign w:val="center"/>
          </w:tcPr>
          <w:p w14:paraId="5133EE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134" w:type="pct"/>
            <w:noWrap w:val="0"/>
            <w:vAlign w:val="center"/>
          </w:tcPr>
          <w:p w14:paraId="103CD33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684" w:type="pct"/>
            <w:noWrap w:val="0"/>
            <w:vAlign w:val="center"/>
          </w:tcPr>
          <w:p w14:paraId="442271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630" w:type="pct"/>
            <w:noWrap w:val="0"/>
            <w:vAlign w:val="center"/>
          </w:tcPr>
          <w:p w14:paraId="447CDB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311" w:type="pct"/>
            <w:noWrap/>
            <w:vAlign w:val="center"/>
          </w:tcPr>
          <w:p w14:paraId="128872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437" w:type="pct"/>
            <w:noWrap/>
            <w:vAlign w:val="center"/>
          </w:tcPr>
          <w:p w14:paraId="332359B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r>
      <w:tr w14:paraId="40D41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restart"/>
            <w:noWrap w:val="0"/>
            <w:vAlign w:val="center"/>
          </w:tcPr>
          <w:p w14:paraId="066C6EF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845" w:type="pct"/>
            <w:vMerge w:val="restart"/>
            <w:noWrap w:val="0"/>
            <w:vAlign w:val="center"/>
          </w:tcPr>
          <w:p w14:paraId="0170667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134" w:type="pct"/>
            <w:noWrap w:val="0"/>
            <w:vAlign w:val="center"/>
          </w:tcPr>
          <w:p w14:paraId="0731828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684" w:type="pct"/>
            <w:shd w:val="clear" w:color="auto" w:fill="auto"/>
            <w:noWrap w:val="0"/>
            <w:vAlign w:val="center"/>
          </w:tcPr>
          <w:p w14:paraId="68BCBB4D">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1</w:t>
            </w:r>
          </w:p>
        </w:tc>
        <w:tc>
          <w:tcPr>
            <w:tcW w:w="630" w:type="pct"/>
            <w:shd w:val="clear" w:color="auto" w:fill="auto"/>
            <w:noWrap w:val="0"/>
            <w:vAlign w:val="center"/>
          </w:tcPr>
          <w:p w14:paraId="6D370693">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1</w:t>
            </w:r>
          </w:p>
        </w:tc>
        <w:tc>
          <w:tcPr>
            <w:tcW w:w="311" w:type="pct"/>
            <w:noWrap/>
            <w:vAlign w:val="center"/>
          </w:tcPr>
          <w:p w14:paraId="4D6EB51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37" w:type="pct"/>
            <w:shd w:val="clear" w:color="auto" w:fill="auto"/>
            <w:noWrap/>
            <w:vAlign w:val="center"/>
          </w:tcPr>
          <w:p w14:paraId="184EA1A3">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1</w:t>
            </w:r>
          </w:p>
        </w:tc>
      </w:tr>
      <w:tr w14:paraId="0B28A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5106FBC1">
            <w:pPr>
              <w:widowControl/>
              <w:jc w:val="left"/>
              <w:rPr>
                <w:rFonts w:ascii="宋体" w:hAnsi="宋体" w:cs="宋体"/>
                <w:color w:val="000000"/>
                <w:kern w:val="0"/>
                <w:sz w:val="20"/>
                <w:szCs w:val="20"/>
              </w:rPr>
            </w:pPr>
          </w:p>
        </w:tc>
        <w:tc>
          <w:tcPr>
            <w:tcW w:w="845" w:type="pct"/>
            <w:vMerge w:val="continue"/>
            <w:noWrap w:val="0"/>
            <w:vAlign w:val="center"/>
          </w:tcPr>
          <w:p w14:paraId="39B38195">
            <w:pPr>
              <w:widowControl/>
              <w:jc w:val="left"/>
              <w:rPr>
                <w:rFonts w:ascii="宋体" w:hAnsi="宋体" w:cs="宋体"/>
                <w:color w:val="000000"/>
                <w:kern w:val="0"/>
                <w:sz w:val="20"/>
                <w:szCs w:val="20"/>
              </w:rPr>
            </w:pPr>
          </w:p>
        </w:tc>
        <w:tc>
          <w:tcPr>
            <w:tcW w:w="1134" w:type="pct"/>
            <w:noWrap w:val="0"/>
            <w:vAlign w:val="center"/>
          </w:tcPr>
          <w:p w14:paraId="6B810D4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684" w:type="pct"/>
            <w:shd w:val="clear" w:color="auto" w:fill="auto"/>
            <w:noWrap w:val="0"/>
            <w:vAlign w:val="center"/>
          </w:tcPr>
          <w:p w14:paraId="085D49C4">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2</w:t>
            </w:r>
          </w:p>
        </w:tc>
        <w:tc>
          <w:tcPr>
            <w:tcW w:w="630" w:type="pct"/>
            <w:shd w:val="clear" w:color="auto" w:fill="auto"/>
            <w:noWrap w:val="0"/>
            <w:vAlign w:val="center"/>
          </w:tcPr>
          <w:p w14:paraId="780846DB">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2</w:t>
            </w:r>
          </w:p>
        </w:tc>
        <w:tc>
          <w:tcPr>
            <w:tcW w:w="311" w:type="pct"/>
            <w:noWrap/>
            <w:vAlign w:val="center"/>
          </w:tcPr>
          <w:p w14:paraId="3A227DF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437" w:type="pct"/>
            <w:shd w:val="clear" w:color="auto" w:fill="auto"/>
            <w:noWrap/>
            <w:vAlign w:val="center"/>
          </w:tcPr>
          <w:p w14:paraId="56367E3E">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2</w:t>
            </w:r>
          </w:p>
        </w:tc>
      </w:tr>
      <w:tr w14:paraId="447D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18362DB9">
            <w:pPr>
              <w:widowControl/>
              <w:jc w:val="left"/>
              <w:rPr>
                <w:rFonts w:ascii="宋体" w:hAnsi="宋体" w:cs="宋体"/>
                <w:color w:val="000000"/>
                <w:kern w:val="0"/>
                <w:sz w:val="20"/>
                <w:szCs w:val="20"/>
              </w:rPr>
            </w:pPr>
          </w:p>
        </w:tc>
        <w:tc>
          <w:tcPr>
            <w:tcW w:w="845" w:type="pct"/>
            <w:vMerge w:val="continue"/>
            <w:noWrap w:val="0"/>
            <w:vAlign w:val="center"/>
          </w:tcPr>
          <w:p w14:paraId="550410BA">
            <w:pPr>
              <w:widowControl/>
              <w:jc w:val="left"/>
              <w:rPr>
                <w:rFonts w:ascii="宋体" w:hAnsi="宋体" w:cs="宋体"/>
                <w:color w:val="000000"/>
                <w:kern w:val="0"/>
                <w:sz w:val="20"/>
                <w:szCs w:val="20"/>
              </w:rPr>
            </w:pPr>
          </w:p>
        </w:tc>
        <w:tc>
          <w:tcPr>
            <w:tcW w:w="1134" w:type="pct"/>
            <w:noWrap w:val="0"/>
            <w:vAlign w:val="center"/>
          </w:tcPr>
          <w:p w14:paraId="469D8FF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684" w:type="pct"/>
            <w:shd w:val="clear" w:color="auto" w:fill="auto"/>
            <w:noWrap w:val="0"/>
            <w:vAlign w:val="center"/>
          </w:tcPr>
          <w:p w14:paraId="3CEA8F9C">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1</w:t>
            </w:r>
          </w:p>
        </w:tc>
        <w:tc>
          <w:tcPr>
            <w:tcW w:w="630" w:type="pct"/>
            <w:shd w:val="clear" w:color="auto" w:fill="auto"/>
            <w:noWrap w:val="0"/>
            <w:vAlign w:val="center"/>
          </w:tcPr>
          <w:p w14:paraId="6A285F47">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1</w:t>
            </w:r>
          </w:p>
        </w:tc>
        <w:tc>
          <w:tcPr>
            <w:tcW w:w="311" w:type="pct"/>
            <w:noWrap/>
            <w:vAlign w:val="center"/>
          </w:tcPr>
          <w:p w14:paraId="2D384CA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37" w:type="pct"/>
            <w:shd w:val="clear" w:color="auto" w:fill="auto"/>
            <w:noWrap/>
            <w:vAlign w:val="center"/>
          </w:tcPr>
          <w:p w14:paraId="237BF081">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1</w:t>
            </w:r>
          </w:p>
        </w:tc>
      </w:tr>
      <w:tr w14:paraId="572F6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16E1E471">
            <w:pPr>
              <w:widowControl/>
              <w:jc w:val="left"/>
              <w:rPr>
                <w:rFonts w:ascii="宋体" w:hAnsi="宋体" w:cs="宋体"/>
                <w:color w:val="000000"/>
                <w:kern w:val="0"/>
                <w:sz w:val="20"/>
                <w:szCs w:val="20"/>
              </w:rPr>
            </w:pPr>
          </w:p>
        </w:tc>
        <w:tc>
          <w:tcPr>
            <w:tcW w:w="845" w:type="pct"/>
            <w:noWrap w:val="0"/>
            <w:vAlign w:val="center"/>
          </w:tcPr>
          <w:p w14:paraId="5A30B4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134" w:type="pct"/>
            <w:noWrap w:val="0"/>
            <w:vAlign w:val="center"/>
          </w:tcPr>
          <w:p w14:paraId="7EC6BA38">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资产管理</w:t>
            </w:r>
            <w:r>
              <w:rPr>
                <w:rFonts w:hint="eastAsia" w:ascii="宋体" w:hAnsi="宋体" w:cs="宋体"/>
                <w:color w:val="000000"/>
                <w:kern w:val="0"/>
                <w:sz w:val="20"/>
                <w:szCs w:val="20"/>
                <w:highlight w:val="none"/>
                <w:lang w:val="en-US" w:eastAsia="zh-CN"/>
              </w:rPr>
              <w:t xml:space="preserve">  </w:t>
            </w:r>
          </w:p>
        </w:tc>
        <w:tc>
          <w:tcPr>
            <w:tcW w:w="684" w:type="pct"/>
            <w:shd w:val="clear" w:color="auto" w:fill="auto"/>
            <w:noWrap w:val="0"/>
            <w:vAlign w:val="center"/>
          </w:tcPr>
          <w:p w14:paraId="4DC6EAA4">
            <w:pPr>
              <w:widowControl/>
              <w:jc w:val="center"/>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4</w:t>
            </w:r>
          </w:p>
        </w:tc>
        <w:tc>
          <w:tcPr>
            <w:tcW w:w="630" w:type="pct"/>
            <w:shd w:val="clear" w:color="auto" w:fill="auto"/>
            <w:noWrap w:val="0"/>
            <w:vAlign w:val="center"/>
          </w:tcPr>
          <w:p w14:paraId="51209A71">
            <w:pPr>
              <w:widowControl/>
              <w:jc w:val="center"/>
              <w:rPr>
                <w:rFonts w:hint="default"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bidi="ar-SA"/>
              </w:rPr>
              <w:t>3</w:t>
            </w:r>
          </w:p>
        </w:tc>
        <w:tc>
          <w:tcPr>
            <w:tcW w:w="311" w:type="pct"/>
            <w:noWrap w:val="0"/>
            <w:vAlign w:val="center"/>
          </w:tcPr>
          <w:p w14:paraId="3EB83466">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437" w:type="pct"/>
            <w:shd w:val="clear" w:color="auto" w:fill="auto"/>
            <w:noWrap w:val="0"/>
            <w:vAlign w:val="center"/>
          </w:tcPr>
          <w:p w14:paraId="6039DCF7">
            <w:pPr>
              <w:widowControl/>
              <w:jc w:val="center"/>
              <w:rPr>
                <w:rFonts w:hint="default"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bidi="ar-SA"/>
              </w:rPr>
              <w:t>4</w:t>
            </w:r>
          </w:p>
        </w:tc>
      </w:tr>
      <w:tr w14:paraId="1ACD0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5B3D614A">
            <w:pPr>
              <w:widowControl/>
              <w:jc w:val="left"/>
              <w:rPr>
                <w:rFonts w:ascii="宋体" w:hAnsi="宋体" w:cs="宋体"/>
                <w:color w:val="000000"/>
                <w:kern w:val="0"/>
                <w:sz w:val="20"/>
                <w:szCs w:val="20"/>
              </w:rPr>
            </w:pPr>
          </w:p>
        </w:tc>
        <w:tc>
          <w:tcPr>
            <w:tcW w:w="845" w:type="pct"/>
            <w:noWrap w:val="0"/>
            <w:vAlign w:val="center"/>
          </w:tcPr>
          <w:p w14:paraId="6CBDB55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134" w:type="pct"/>
            <w:noWrap w:val="0"/>
            <w:vAlign w:val="center"/>
          </w:tcPr>
          <w:p w14:paraId="6EAB4747">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绩效管理情况</w:t>
            </w:r>
          </w:p>
        </w:tc>
        <w:tc>
          <w:tcPr>
            <w:tcW w:w="684" w:type="pct"/>
            <w:shd w:val="clear" w:color="auto" w:fill="auto"/>
            <w:noWrap w:val="0"/>
            <w:vAlign w:val="center"/>
          </w:tcPr>
          <w:p w14:paraId="705EA673">
            <w:pPr>
              <w:widowControl/>
              <w:jc w:val="center"/>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4</w:t>
            </w:r>
          </w:p>
        </w:tc>
        <w:tc>
          <w:tcPr>
            <w:tcW w:w="630" w:type="pct"/>
            <w:shd w:val="clear" w:color="auto" w:fill="auto"/>
            <w:noWrap w:val="0"/>
            <w:vAlign w:val="center"/>
          </w:tcPr>
          <w:p w14:paraId="5CCE3AC1">
            <w:pPr>
              <w:widowControl/>
              <w:jc w:val="center"/>
              <w:rPr>
                <w:rFonts w:hint="default"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bidi="ar-SA"/>
              </w:rPr>
              <w:t>3</w:t>
            </w:r>
          </w:p>
        </w:tc>
        <w:tc>
          <w:tcPr>
            <w:tcW w:w="311" w:type="pct"/>
            <w:noWrap w:val="0"/>
            <w:vAlign w:val="center"/>
          </w:tcPr>
          <w:p w14:paraId="710D0656">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437" w:type="pct"/>
            <w:shd w:val="clear" w:color="auto" w:fill="auto"/>
            <w:noWrap w:val="0"/>
            <w:vAlign w:val="center"/>
          </w:tcPr>
          <w:p w14:paraId="64A94141">
            <w:pPr>
              <w:widowControl/>
              <w:jc w:val="center"/>
              <w:rPr>
                <w:rFonts w:hint="default"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bidi="ar-SA"/>
              </w:rPr>
              <w:t>4</w:t>
            </w:r>
          </w:p>
        </w:tc>
      </w:tr>
      <w:tr w14:paraId="48157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154FBED7">
            <w:pPr>
              <w:widowControl/>
              <w:jc w:val="left"/>
              <w:rPr>
                <w:rFonts w:ascii="宋体" w:hAnsi="宋体" w:cs="宋体"/>
                <w:color w:val="000000"/>
                <w:kern w:val="0"/>
                <w:sz w:val="20"/>
                <w:szCs w:val="20"/>
              </w:rPr>
            </w:pPr>
          </w:p>
        </w:tc>
        <w:tc>
          <w:tcPr>
            <w:tcW w:w="845" w:type="pct"/>
            <w:noWrap w:val="0"/>
            <w:vAlign w:val="center"/>
          </w:tcPr>
          <w:p w14:paraId="1F5EB25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818" w:type="pct"/>
            <w:gridSpan w:val="2"/>
            <w:noWrap w:val="0"/>
            <w:vAlign w:val="center"/>
          </w:tcPr>
          <w:p w14:paraId="5BA19D4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年</w:t>
            </w:r>
          </w:p>
        </w:tc>
        <w:tc>
          <w:tcPr>
            <w:tcW w:w="630" w:type="pct"/>
            <w:noWrap w:val="0"/>
            <w:vAlign w:val="center"/>
          </w:tcPr>
          <w:p w14:paraId="028917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年</w:t>
            </w:r>
          </w:p>
        </w:tc>
        <w:tc>
          <w:tcPr>
            <w:tcW w:w="311" w:type="pct"/>
            <w:noWrap w:val="0"/>
            <w:vAlign w:val="center"/>
          </w:tcPr>
          <w:p w14:paraId="314F454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437" w:type="pct"/>
            <w:noWrap w:val="0"/>
            <w:vAlign w:val="center"/>
          </w:tcPr>
          <w:p w14:paraId="4396630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14:paraId="6F98D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0C7B7C51">
            <w:pPr>
              <w:widowControl/>
              <w:jc w:val="left"/>
              <w:rPr>
                <w:rFonts w:ascii="宋体" w:hAnsi="宋体" w:cs="宋体"/>
                <w:color w:val="000000"/>
                <w:kern w:val="0"/>
                <w:sz w:val="20"/>
                <w:szCs w:val="20"/>
              </w:rPr>
            </w:pPr>
          </w:p>
        </w:tc>
        <w:tc>
          <w:tcPr>
            <w:tcW w:w="845" w:type="pct"/>
            <w:noWrap w:val="0"/>
            <w:vAlign w:val="center"/>
          </w:tcPr>
          <w:p w14:paraId="62F20E5C">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818" w:type="pct"/>
            <w:gridSpan w:val="2"/>
            <w:noWrap w:val="0"/>
            <w:vAlign w:val="center"/>
          </w:tcPr>
          <w:p w14:paraId="0E95607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1.09%</w:t>
            </w:r>
          </w:p>
        </w:tc>
        <w:tc>
          <w:tcPr>
            <w:tcW w:w="630" w:type="pct"/>
            <w:noWrap w:val="0"/>
            <w:vAlign w:val="center"/>
          </w:tcPr>
          <w:p w14:paraId="44E4A0FA">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rPr>
              <w:t>　　1.09%</w:t>
            </w:r>
          </w:p>
        </w:tc>
        <w:tc>
          <w:tcPr>
            <w:tcW w:w="311" w:type="pct"/>
            <w:noWrap w:val="0"/>
            <w:vAlign w:val="center"/>
          </w:tcPr>
          <w:p w14:paraId="5EE218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437" w:type="pct"/>
            <w:noWrap w:val="0"/>
            <w:vAlign w:val="center"/>
          </w:tcPr>
          <w:p w14:paraId="577C1751">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3.71</w:t>
            </w:r>
            <w:r>
              <w:rPr>
                <w:rFonts w:hint="eastAsia" w:ascii="宋体" w:hAnsi="宋体" w:cs="宋体"/>
                <w:color w:val="000000"/>
                <w:kern w:val="0"/>
                <w:sz w:val="20"/>
                <w:szCs w:val="20"/>
                <w:highlight w:val="none"/>
              </w:rPr>
              <w:t>　</w:t>
            </w:r>
          </w:p>
        </w:tc>
      </w:tr>
      <w:tr w14:paraId="45D1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55" w:type="pct"/>
            <w:vMerge w:val="continue"/>
            <w:noWrap w:val="0"/>
            <w:vAlign w:val="center"/>
          </w:tcPr>
          <w:p w14:paraId="0C52E454">
            <w:pPr>
              <w:widowControl/>
              <w:jc w:val="left"/>
              <w:rPr>
                <w:rFonts w:ascii="宋体" w:hAnsi="宋体" w:cs="宋体"/>
                <w:color w:val="000000"/>
                <w:kern w:val="0"/>
                <w:sz w:val="20"/>
                <w:szCs w:val="20"/>
              </w:rPr>
            </w:pPr>
          </w:p>
        </w:tc>
        <w:tc>
          <w:tcPr>
            <w:tcW w:w="845" w:type="pct"/>
            <w:noWrap w:val="0"/>
            <w:vAlign w:val="center"/>
          </w:tcPr>
          <w:p w14:paraId="1FC456BC">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818" w:type="pct"/>
            <w:gridSpan w:val="2"/>
            <w:noWrap w:val="0"/>
            <w:vAlign w:val="center"/>
          </w:tcPr>
          <w:p w14:paraId="516636C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630" w:type="pct"/>
            <w:noWrap w:val="0"/>
            <w:vAlign w:val="center"/>
          </w:tcPr>
          <w:p w14:paraId="7AC4FE2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-1.68%</w:t>
            </w:r>
          </w:p>
        </w:tc>
        <w:tc>
          <w:tcPr>
            <w:tcW w:w="311" w:type="pct"/>
            <w:noWrap w:val="0"/>
            <w:vAlign w:val="center"/>
          </w:tcPr>
          <w:p w14:paraId="4BF185A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437" w:type="pct"/>
            <w:noWrap w:val="0"/>
            <w:vAlign w:val="center"/>
          </w:tcPr>
          <w:p w14:paraId="0BA4E906">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w:t>
            </w:r>
          </w:p>
        </w:tc>
      </w:tr>
      <w:tr w14:paraId="56265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250" w:type="pct"/>
            <w:gridSpan w:val="5"/>
            <w:noWrap w:val="0"/>
            <w:vAlign w:val="center"/>
          </w:tcPr>
          <w:p w14:paraId="2D0FB96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311" w:type="pct"/>
            <w:noWrap w:val="0"/>
            <w:vAlign w:val="center"/>
          </w:tcPr>
          <w:p w14:paraId="07C274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437" w:type="pct"/>
            <w:noWrap w:val="0"/>
            <w:vAlign w:val="center"/>
          </w:tcPr>
          <w:p w14:paraId="57D44813">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96.49</w:t>
            </w:r>
          </w:p>
        </w:tc>
      </w:tr>
    </w:tbl>
    <w:p w14:paraId="1EDC0A8A">
      <w:pPr>
        <w:rPr>
          <w:rFonts w:hint="eastAsia"/>
          <w:lang w:val="en-US" w:eastAsia="zh-CN"/>
        </w:rPr>
      </w:pP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61394">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603E5C">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2603E5C">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v:textbox>
            </v:shape>
          </w:pict>
        </mc:Fallback>
      </mc:AlternateContent>
    </w:r>
  </w:p>
  <w:p w14:paraId="1E941EDC">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zYmFkY2E3NDQxNWJhYTI2Y2NhNDQ1Y2U1M2JmZTkifQ=="/>
  </w:docVars>
  <w:rsids>
    <w:rsidRoot w:val="F77F09F4"/>
    <w:rsid w:val="00044E18"/>
    <w:rsid w:val="0005164B"/>
    <w:rsid w:val="00186EA2"/>
    <w:rsid w:val="0021639C"/>
    <w:rsid w:val="00220DB1"/>
    <w:rsid w:val="00351A04"/>
    <w:rsid w:val="0036167E"/>
    <w:rsid w:val="003E4CF9"/>
    <w:rsid w:val="0043139E"/>
    <w:rsid w:val="004736E2"/>
    <w:rsid w:val="004C7E79"/>
    <w:rsid w:val="004D49FE"/>
    <w:rsid w:val="005267C5"/>
    <w:rsid w:val="00530955"/>
    <w:rsid w:val="00575030"/>
    <w:rsid w:val="00583B67"/>
    <w:rsid w:val="00643D49"/>
    <w:rsid w:val="00676CF9"/>
    <w:rsid w:val="00685A55"/>
    <w:rsid w:val="006945EA"/>
    <w:rsid w:val="00725090"/>
    <w:rsid w:val="0075222C"/>
    <w:rsid w:val="00845E24"/>
    <w:rsid w:val="00870B4A"/>
    <w:rsid w:val="008E115A"/>
    <w:rsid w:val="00902955"/>
    <w:rsid w:val="00940179"/>
    <w:rsid w:val="00962874"/>
    <w:rsid w:val="009D5A19"/>
    <w:rsid w:val="00A16318"/>
    <w:rsid w:val="00A56210"/>
    <w:rsid w:val="00A65F16"/>
    <w:rsid w:val="00A93861"/>
    <w:rsid w:val="00AF6587"/>
    <w:rsid w:val="00B144F7"/>
    <w:rsid w:val="00B21F77"/>
    <w:rsid w:val="00B32E5D"/>
    <w:rsid w:val="00B9388C"/>
    <w:rsid w:val="00BA5ED2"/>
    <w:rsid w:val="00C50102"/>
    <w:rsid w:val="00C857AB"/>
    <w:rsid w:val="00D03785"/>
    <w:rsid w:val="00D76D05"/>
    <w:rsid w:val="00D86F0E"/>
    <w:rsid w:val="00D96FBE"/>
    <w:rsid w:val="00DA4F62"/>
    <w:rsid w:val="00DF2320"/>
    <w:rsid w:val="00E015B3"/>
    <w:rsid w:val="00F81542"/>
    <w:rsid w:val="00F923CF"/>
    <w:rsid w:val="00FF0A86"/>
    <w:rsid w:val="01407622"/>
    <w:rsid w:val="04A22F2C"/>
    <w:rsid w:val="054C7FAD"/>
    <w:rsid w:val="064665AD"/>
    <w:rsid w:val="076F17EB"/>
    <w:rsid w:val="079B6878"/>
    <w:rsid w:val="07B93C8A"/>
    <w:rsid w:val="092263E9"/>
    <w:rsid w:val="0A4E28DF"/>
    <w:rsid w:val="0A9472A5"/>
    <w:rsid w:val="0CEE2BC6"/>
    <w:rsid w:val="122A0F06"/>
    <w:rsid w:val="13F15AF0"/>
    <w:rsid w:val="155D0968"/>
    <w:rsid w:val="17390B56"/>
    <w:rsid w:val="19AF7825"/>
    <w:rsid w:val="19BF2040"/>
    <w:rsid w:val="1B406B46"/>
    <w:rsid w:val="1B4346C9"/>
    <w:rsid w:val="1D5C4168"/>
    <w:rsid w:val="1FD55B0C"/>
    <w:rsid w:val="24564250"/>
    <w:rsid w:val="299E03B9"/>
    <w:rsid w:val="2C9D4387"/>
    <w:rsid w:val="2D773B83"/>
    <w:rsid w:val="2EB94430"/>
    <w:rsid w:val="309C48C3"/>
    <w:rsid w:val="30FD06AA"/>
    <w:rsid w:val="312D3445"/>
    <w:rsid w:val="34C77CE1"/>
    <w:rsid w:val="358A5A22"/>
    <w:rsid w:val="35CC6A5B"/>
    <w:rsid w:val="37173543"/>
    <w:rsid w:val="37240250"/>
    <w:rsid w:val="38E2331B"/>
    <w:rsid w:val="39AD14C3"/>
    <w:rsid w:val="3D0D152A"/>
    <w:rsid w:val="3D485717"/>
    <w:rsid w:val="3E3E7C24"/>
    <w:rsid w:val="3E411EED"/>
    <w:rsid w:val="3FB12AEB"/>
    <w:rsid w:val="3FF76880"/>
    <w:rsid w:val="41D37BFE"/>
    <w:rsid w:val="41EF2605"/>
    <w:rsid w:val="46761547"/>
    <w:rsid w:val="4716123D"/>
    <w:rsid w:val="47470F94"/>
    <w:rsid w:val="47E42B03"/>
    <w:rsid w:val="4AB51CCB"/>
    <w:rsid w:val="4C6D5B21"/>
    <w:rsid w:val="4D6F07AD"/>
    <w:rsid w:val="4F5F701C"/>
    <w:rsid w:val="4FF359B6"/>
    <w:rsid w:val="55D54DA0"/>
    <w:rsid w:val="5627460C"/>
    <w:rsid w:val="577057DF"/>
    <w:rsid w:val="57910970"/>
    <w:rsid w:val="580B072C"/>
    <w:rsid w:val="5ECA2A05"/>
    <w:rsid w:val="64426F51"/>
    <w:rsid w:val="66543E7C"/>
    <w:rsid w:val="66695416"/>
    <w:rsid w:val="668F4233"/>
    <w:rsid w:val="67FF7197"/>
    <w:rsid w:val="69670BC7"/>
    <w:rsid w:val="69B44C96"/>
    <w:rsid w:val="6A4642E6"/>
    <w:rsid w:val="6DF11462"/>
    <w:rsid w:val="6F1A3415"/>
    <w:rsid w:val="6F4A141A"/>
    <w:rsid w:val="7098461D"/>
    <w:rsid w:val="71043878"/>
    <w:rsid w:val="717C53B4"/>
    <w:rsid w:val="71A92E0D"/>
    <w:rsid w:val="76B37765"/>
    <w:rsid w:val="7AB7FF50"/>
    <w:rsid w:val="7BFEB0DB"/>
    <w:rsid w:val="7CFF3A91"/>
    <w:rsid w:val="7D6F16F7"/>
    <w:rsid w:val="7E504652"/>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Balloon Text"/>
    <w:basedOn w:val="1"/>
    <w:link w:val="14"/>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16"/>
    <w:qFormat/>
    <w:uiPriority w:val="0"/>
    <w:rPr>
      <w:b/>
      <w:bCs/>
    </w:rPr>
  </w:style>
  <w:style w:type="table" w:styleId="9">
    <w:name w:val="Table Grid"/>
    <w:basedOn w:val="8"/>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列出段落1"/>
    <w:basedOn w:val="1"/>
    <w:qFormat/>
    <w:uiPriority w:val="34"/>
    <w:pPr>
      <w:ind w:firstLine="420" w:firstLineChars="200"/>
    </w:pPr>
    <w:rPr>
      <w:rFonts w:ascii="Calibri" w:hAnsi="Calibri" w:cs="黑体"/>
      <w:szCs w:val="22"/>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批注框文本 字符"/>
    <w:basedOn w:val="10"/>
    <w:link w:val="4"/>
    <w:qFormat/>
    <w:uiPriority w:val="0"/>
    <w:rPr>
      <w:rFonts w:ascii="Times New Roman" w:hAnsi="Times New Roman" w:eastAsia="宋体" w:cs="Times New Roman"/>
      <w:kern w:val="2"/>
      <w:sz w:val="18"/>
      <w:szCs w:val="18"/>
    </w:rPr>
  </w:style>
  <w:style w:type="character" w:customStyle="1" w:styleId="15">
    <w:name w:val="批注文字 字符"/>
    <w:basedOn w:val="10"/>
    <w:link w:val="3"/>
    <w:qFormat/>
    <w:uiPriority w:val="0"/>
    <w:rPr>
      <w:rFonts w:ascii="Times New Roman" w:hAnsi="Times New Roman" w:eastAsia="宋体" w:cs="Times New Roman"/>
      <w:kern w:val="2"/>
      <w:sz w:val="21"/>
      <w:szCs w:val="24"/>
    </w:rPr>
  </w:style>
  <w:style w:type="character" w:customStyle="1" w:styleId="16">
    <w:name w:val="批注主题 字符"/>
    <w:basedOn w:val="15"/>
    <w:link w:val="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10</Pages>
  <Words>2820</Words>
  <Characters>2981</Characters>
  <Lines>20</Lines>
  <Paragraphs>5</Paragraphs>
  <TotalTime>65</TotalTime>
  <ScaleCrop>false</ScaleCrop>
  <LinksUpToDate>false</LinksUpToDate>
  <CharactersWithSpaces>3018</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2024-05-16T02:18:00Z</dcterms:created>
  <dc:creator>user</dc:creator>
  <cp:lastModifiedBy>郭</cp:lastModifiedBy>
  <cp:lastPrinted>2022-03-24T10:01:00Z</cp:lastPrinted>
  <dcterms:modified xsi:type="dcterms:W3CDTF">2025-08-27T10:51:36Z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B2F1AB1E1BF14C1CBF10D78786F0361F_12</vt:lpwstr>
  </property>
  <property fmtid="{D5CDD505-2E9C-101B-9397-08002B2CF9AE}" pid="4" name="KSOTemplateDocerSaveRecord">
    <vt:lpwstr>eyJoZGlkIjoiMDQ0ODllZmUwNDI2NDU5MjBkNGY1ZmYzOGE4ZTg2NjAiLCJ1c2VySWQiOiI1ODU1OTUzOTgifQ==</vt:lpwstr>
  </property>
</Properties>
</file>