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485E4">
      <w:pPr>
        <w:pStyle w:val="4"/>
        <w:spacing w:line="458" w:lineRule="auto"/>
        <w:rPr>
          <w:rFonts w:ascii="黑体" w:hAnsi="黑体" w:eastAsia="黑体"/>
          <w:b/>
          <w:sz w:val="31"/>
          <w:szCs w:val="31"/>
          <w:lang w:eastAsia="zh-CN"/>
        </w:rPr>
      </w:pPr>
      <w:r>
        <w:rPr>
          <w:rFonts w:hint="eastAsia" w:ascii="黑体" w:hAnsi="黑体" w:eastAsia="黑体" w:cs="宋体"/>
          <w:b/>
          <w:sz w:val="31"/>
          <w:szCs w:val="31"/>
          <w:lang w:eastAsia="zh-CN"/>
        </w:rPr>
        <w:t>附件2</w:t>
      </w:r>
    </w:p>
    <w:p w14:paraId="0C5A4DC5">
      <w:pPr>
        <w:spacing w:before="143" w:line="219" w:lineRule="auto"/>
        <w:jc w:val="center"/>
        <w:rPr>
          <w:rFonts w:ascii="宋体" w:hAnsi="宋体" w:eastAsia="宋体" w:cs="宋体"/>
          <w:b/>
          <w:bCs/>
          <w:spacing w:val="-3"/>
          <w:sz w:val="44"/>
          <w:szCs w:val="44"/>
          <w:lang w:eastAsia="zh-CN"/>
        </w:rPr>
      </w:pPr>
    </w:p>
    <w:p w14:paraId="69AD5917">
      <w:pPr>
        <w:spacing w:before="143" w:line="219" w:lineRule="auto"/>
        <w:jc w:val="center"/>
        <w:rPr>
          <w:rFonts w:ascii="宋体" w:hAnsi="宋体" w:eastAsia="宋体" w:cs="宋体"/>
          <w:sz w:val="44"/>
          <w:szCs w:val="44"/>
          <w:lang w:eastAsia="zh-CN"/>
        </w:rPr>
      </w:pPr>
      <w:r>
        <w:rPr>
          <w:rFonts w:hint="eastAsia" w:ascii="宋体" w:hAnsi="宋体" w:eastAsia="宋体" w:cs="宋体"/>
          <w:b/>
          <w:bCs/>
          <w:spacing w:val="-3"/>
          <w:sz w:val="44"/>
          <w:szCs w:val="44"/>
          <w:lang w:eastAsia="zh-CN"/>
        </w:rPr>
        <w:t>北京市</w:t>
      </w:r>
      <w:r>
        <w:rPr>
          <w:rFonts w:ascii="宋体" w:hAnsi="宋体" w:eastAsia="宋体" w:cs="宋体"/>
          <w:b/>
          <w:bCs/>
          <w:spacing w:val="-3"/>
          <w:sz w:val="44"/>
          <w:szCs w:val="44"/>
          <w:lang w:eastAsia="zh-CN"/>
        </w:rPr>
        <w:t>生态环境保护督察整改情况公示表</w:t>
      </w:r>
    </w:p>
    <w:p w14:paraId="1583A282">
      <w:pPr>
        <w:spacing w:before="178" w:line="219" w:lineRule="auto"/>
        <w:ind w:left="3145"/>
        <w:rPr>
          <w:rFonts w:ascii="宋体" w:hAnsi="宋体" w:eastAsia="宋体" w:cs="宋体"/>
          <w:sz w:val="29"/>
          <w:szCs w:val="29"/>
          <w:lang w:eastAsia="zh-CN"/>
        </w:rPr>
      </w:pPr>
    </w:p>
    <w:p w14:paraId="739118F1">
      <w:pPr>
        <w:spacing w:line="18" w:lineRule="exact"/>
        <w:rPr>
          <w:lang w:eastAsia="zh-CN"/>
        </w:rPr>
      </w:pPr>
    </w:p>
    <w:tbl>
      <w:tblPr>
        <w:tblStyle w:val="10"/>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3"/>
        <w:gridCol w:w="1238"/>
        <w:gridCol w:w="5219"/>
      </w:tblGrid>
      <w:tr w14:paraId="03C6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2083" w:type="dxa"/>
            <w:vMerge w:val="restart"/>
            <w:tcBorders>
              <w:bottom w:val="nil"/>
            </w:tcBorders>
            <w:vAlign w:val="center"/>
          </w:tcPr>
          <w:p w14:paraId="50F50DF4">
            <w:pPr>
              <w:spacing w:before="78" w:line="219" w:lineRule="auto"/>
              <w:ind w:left="555"/>
              <w:rPr>
                <w:rFonts w:ascii="宋体" w:hAnsi="宋体" w:eastAsia="宋体" w:cs="宋体"/>
                <w:sz w:val="24"/>
                <w:szCs w:val="24"/>
              </w:rPr>
            </w:pPr>
            <w:r>
              <w:rPr>
                <w:rFonts w:ascii="宋体" w:hAnsi="宋体" w:eastAsia="宋体" w:cs="宋体"/>
                <w:spacing w:val="2"/>
                <w:sz w:val="24"/>
                <w:szCs w:val="24"/>
              </w:rPr>
              <w:t>整改任务</w:t>
            </w:r>
          </w:p>
        </w:tc>
        <w:tc>
          <w:tcPr>
            <w:tcW w:w="1238" w:type="dxa"/>
            <w:vAlign w:val="center"/>
          </w:tcPr>
          <w:p w14:paraId="7AA18F5B">
            <w:pPr>
              <w:spacing w:before="185" w:line="219" w:lineRule="auto"/>
              <w:ind w:left="132"/>
              <w:rPr>
                <w:rFonts w:ascii="宋体" w:hAnsi="宋体" w:eastAsia="宋体" w:cs="宋体"/>
                <w:sz w:val="24"/>
                <w:szCs w:val="24"/>
              </w:rPr>
            </w:pPr>
            <w:r>
              <w:rPr>
                <w:rFonts w:ascii="宋体" w:hAnsi="宋体" w:eastAsia="宋体" w:cs="宋体"/>
                <w:spacing w:val="3"/>
                <w:sz w:val="24"/>
                <w:szCs w:val="24"/>
              </w:rPr>
              <w:t>任务编号</w:t>
            </w:r>
          </w:p>
        </w:tc>
        <w:tc>
          <w:tcPr>
            <w:tcW w:w="5219" w:type="dxa"/>
            <w:vAlign w:val="center"/>
          </w:tcPr>
          <w:p w14:paraId="12F0BDE5">
            <w:pPr>
              <w:spacing w:before="185" w:line="219"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祥龙公司整改方案第</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项</w:t>
            </w:r>
          </w:p>
        </w:tc>
      </w:tr>
      <w:tr w14:paraId="0C68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083" w:type="dxa"/>
            <w:vMerge w:val="continue"/>
            <w:tcBorders>
              <w:top w:val="nil"/>
            </w:tcBorders>
            <w:vAlign w:val="center"/>
          </w:tcPr>
          <w:p w14:paraId="2ED46CEC">
            <w:pPr>
              <w:pStyle w:val="11"/>
              <w:rPr>
                <w:lang w:eastAsia="zh-CN"/>
              </w:rPr>
            </w:pPr>
          </w:p>
        </w:tc>
        <w:tc>
          <w:tcPr>
            <w:tcW w:w="1238" w:type="dxa"/>
            <w:vAlign w:val="center"/>
          </w:tcPr>
          <w:p w14:paraId="22C69C7C">
            <w:pPr>
              <w:spacing w:before="181" w:line="219" w:lineRule="auto"/>
              <w:ind w:left="132"/>
              <w:rPr>
                <w:rFonts w:ascii="宋体" w:hAnsi="宋体" w:eastAsia="宋体" w:cs="宋体"/>
                <w:sz w:val="24"/>
                <w:szCs w:val="24"/>
                <w:lang w:eastAsia="zh-CN"/>
              </w:rPr>
            </w:pPr>
            <w:r>
              <w:rPr>
                <w:rFonts w:ascii="宋体" w:hAnsi="宋体" w:eastAsia="宋体" w:cs="宋体"/>
                <w:sz w:val="24"/>
                <w:szCs w:val="24"/>
                <w:lang w:eastAsia="zh-CN"/>
              </w:rPr>
              <w:t>问题概述</w:t>
            </w:r>
          </w:p>
        </w:tc>
        <w:tc>
          <w:tcPr>
            <w:tcW w:w="5219" w:type="dxa"/>
            <w:vAlign w:val="center"/>
          </w:tcPr>
          <w:p w14:paraId="0A1D9CEF">
            <w:pPr>
              <w:pStyle w:val="11"/>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在国资国企引领示范作用发挥方面，贯彻落实新发展理念仍有差距，学习贯彻习近平生态文明思想不够深入，思想认识不足，未形成系统完整有效的企业内部环境管理体系，学习研究不够深入。2020年至本次督察前，公司党委会及总经理办公会未统筹研究过生态环境保护相关工作，也未开展系统性业务培训；部分干部对生态文明建设和生态环境保护工作认识浮于表面，缺乏生态环境保护与产业提升、企业经营融合发展的思想自觉和行动自觉。</w:t>
            </w:r>
          </w:p>
        </w:tc>
      </w:tr>
      <w:tr w14:paraId="2219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2083" w:type="dxa"/>
            <w:vAlign w:val="center"/>
          </w:tcPr>
          <w:p w14:paraId="7C81BAF5">
            <w:pPr>
              <w:spacing w:before="78" w:line="219" w:lineRule="auto"/>
              <w:ind w:left="555"/>
              <w:rPr>
                <w:rFonts w:ascii="宋体" w:hAnsi="宋体" w:eastAsia="宋体" w:cs="宋体"/>
                <w:sz w:val="24"/>
                <w:szCs w:val="24"/>
              </w:rPr>
            </w:pPr>
            <w:r>
              <w:rPr>
                <w:rFonts w:ascii="宋体" w:hAnsi="宋体" w:eastAsia="宋体" w:cs="宋体"/>
                <w:spacing w:val="2"/>
                <w:sz w:val="24"/>
                <w:szCs w:val="24"/>
              </w:rPr>
              <w:t>责任单位</w:t>
            </w:r>
          </w:p>
        </w:tc>
        <w:tc>
          <w:tcPr>
            <w:tcW w:w="6457" w:type="dxa"/>
            <w:gridSpan w:val="2"/>
            <w:vAlign w:val="center"/>
          </w:tcPr>
          <w:p w14:paraId="194917AD">
            <w:pPr>
              <w:spacing w:before="78" w:line="219" w:lineRule="auto"/>
              <w:ind w:left="212"/>
              <w:rPr>
                <w:rFonts w:ascii="宋体" w:hAnsi="宋体" w:eastAsia="宋体" w:cs="宋体"/>
                <w:sz w:val="24"/>
                <w:szCs w:val="24"/>
                <w:lang w:eastAsia="zh-CN"/>
              </w:rPr>
            </w:pPr>
            <w:r>
              <w:rPr>
                <w:rFonts w:hint="eastAsia" w:ascii="宋体" w:hAnsi="宋体" w:eastAsia="宋体" w:cs="宋体"/>
                <w:sz w:val="24"/>
                <w:szCs w:val="24"/>
                <w:lang w:eastAsia="zh-CN"/>
              </w:rPr>
              <w:t>祥龙公司党委办公室、总经理办公室、党委组织部、党委宣传部；所属各单位</w:t>
            </w:r>
          </w:p>
        </w:tc>
      </w:tr>
      <w:tr w14:paraId="3643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2083" w:type="dxa"/>
            <w:vAlign w:val="center"/>
          </w:tcPr>
          <w:p w14:paraId="3952D5DB">
            <w:pPr>
              <w:spacing w:before="313" w:line="219" w:lineRule="auto"/>
              <w:ind w:left="555"/>
              <w:rPr>
                <w:rFonts w:ascii="宋体" w:hAnsi="宋体" w:eastAsia="宋体" w:cs="宋体"/>
                <w:sz w:val="24"/>
                <w:szCs w:val="24"/>
              </w:rPr>
            </w:pPr>
            <w:r>
              <w:rPr>
                <w:rFonts w:ascii="宋体" w:hAnsi="宋体" w:eastAsia="宋体" w:cs="宋体"/>
                <w:spacing w:val="-2"/>
                <w:sz w:val="24"/>
                <w:szCs w:val="24"/>
              </w:rPr>
              <w:t>整改目标</w:t>
            </w:r>
          </w:p>
        </w:tc>
        <w:tc>
          <w:tcPr>
            <w:tcW w:w="6457" w:type="dxa"/>
            <w:gridSpan w:val="2"/>
            <w:vAlign w:val="center"/>
          </w:tcPr>
          <w:p w14:paraId="53E24159">
            <w:pPr>
              <w:pStyle w:val="11"/>
              <w:rPr>
                <w:rFonts w:ascii="宋体" w:hAnsi="宋体" w:eastAsia="宋体" w:cs="宋体"/>
                <w:sz w:val="24"/>
                <w:szCs w:val="24"/>
                <w:lang w:eastAsia="zh-CN"/>
              </w:rPr>
            </w:pPr>
            <w:r>
              <w:rPr>
                <w:rFonts w:hint="eastAsia" w:ascii="宋体" w:hAnsi="宋体" w:eastAsia="宋体" w:cs="宋体"/>
                <w:sz w:val="24"/>
                <w:szCs w:val="24"/>
                <w:lang w:eastAsia="zh-CN"/>
              </w:rPr>
              <w:t>深入贯彻落实习近平生态文明思想，提升全员生态环境保护工作意识，坚持党委对环保工作重大问题的统筹研究，把握好高质量发展与高水平保护的关系。</w:t>
            </w:r>
          </w:p>
        </w:tc>
      </w:tr>
      <w:tr w14:paraId="0938A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083" w:type="dxa"/>
            <w:vAlign w:val="center"/>
          </w:tcPr>
          <w:p w14:paraId="1A152444">
            <w:pPr>
              <w:spacing w:before="78" w:line="219" w:lineRule="auto"/>
              <w:ind w:left="555"/>
              <w:rPr>
                <w:rFonts w:ascii="宋体" w:hAnsi="宋体" w:eastAsia="宋体" w:cs="宋体"/>
                <w:sz w:val="24"/>
                <w:szCs w:val="24"/>
              </w:rPr>
            </w:pPr>
            <w:r>
              <w:rPr>
                <w:rFonts w:ascii="宋体" w:hAnsi="宋体" w:eastAsia="宋体" w:cs="宋体"/>
                <w:spacing w:val="2"/>
                <w:sz w:val="24"/>
                <w:szCs w:val="24"/>
              </w:rPr>
              <w:t>整改措施</w:t>
            </w:r>
          </w:p>
        </w:tc>
        <w:tc>
          <w:tcPr>
            <w:tcW w:w="6457" w:type="dxa"/>
            <w:gridSpan w:val="2"/>
            <w:vAlign w:val="center"/>
          </w:tcPr>
          <w:p w14:paraId="2720D990">
            <w:pPr>
              <w:pStyle w:val="11"/>
              <w:keepNext w:val="0"/>
              <w:keepLines w:val="0"/>
              <w:pageBreakBefore w:val="0"/>
              <w:widowControl/>
              <w:kinsoku w:val="0"/>
              <w:wordWrap/>
              <w:overflowPunct/>
              <w:topLinePunct w:val="0"/>
              <w:autoSpaceDE w:val="0"/>
              <w:autoSpaceDN w:val="0"/>
              <w:bidi w:val="0"/>
              <w:adjustRightInd w:val="0"/>
              <w:snapToGrid w:val="0"/>
              <w:spacing w:line="219" w:lineRule="auto"/>
              <w:ind w:firstLine="480" w:firstLineChars="200"/>
              <w:textAlignment w:val="baseline"/>
              <w:rPr>
                <w:rFonts w:hint="eastAsia" w:ascii="宋体" w:hAnsi="宋体" w:eastAsia="宋体"/>
                <w:sz w:val="24"/>
                <w:szCs w:val="24"/>
                <w:lang w:eastAsia="zh-CN"/>
              </w:rPr>
            </w:pPr>
            <w:r>
              <w:rPr>
                <w:rFonts w:hint="eastAsia" w:ascii="宋体" w:hAnsi="宋体" w:eastAsia="宋体"/>
                <w:sz w:val="24"/>
                <w:szCs w:val="24"/>
                <w:lang w:eastAsia="zh-CN"/>
              </w:rPr>
              <w:t>（一）坚持将生态环境保护有关议题列入党委议事范围，深入学习领会习近平生态文明思想，研究贯彻落实意见。（责任单位：祥龙公司党委办公室；所属各单位）</w:t>
            </w:r>
          </w:p>
          <w:p w14:paraId="607A358D">
            <w:pPr>
              <w:pStyle w:val="11"/>
              <w:keepNext w:val="0"/>
              <w:keepLines w:val="0"/>
              <w:pageBreakBefore w:val="0"/>
              <w:widowControl/>
              <w:kinsoku w:val="0"/>
              <w:wordWrap/>
              <w:overflowPunct/>
              <w:topLinePunct w:val="0"/>
              <w:autoSpaceDE w:val="0"/>
              <w:autoSpaceDN w:val="0"/>
              <w:bidi w:val="0"/>
              <w:adjustRightInd w:val="0"/>
              <w:snapToGrid w:val="0"/>
              <w:spacing w:line="219" w:lineRule="auto"/>
              <w:ind w:firstLine="480" w:firstLineChars="200"/>
              <w:textAlignment w:val="baseline"/>
              <w:rPr>
                <w:rFonts w:hint="eastAsia" w:ascii="宋体" w:hAnsi="宋体" w:eastAsia="宋体"/>
                <w:sz w:val="24"/>
                <w:szCs w:val="24"/>
                <w:lang w:eastAsia="zh-CN"/>
              </w:rPr>
            </w:pPr>
            <w:r>
              <w:rPr>
                <w:rFonts w:hint="eastAsia" w:ascii="宋体" w:hAnsi="宋体" w:eastAsia="宋体"/>
                <w:sz w:val="24"/>
                <w:szCs w:val="24"/>
                <w:lang w:eastAsia="zh-CN"/>
              </w:rPr>
              <w:t>（二）通过经理办公会会前学习，进一步增强领导班子成员对生态文明思想的理解和认识；经理办公会定期听取专题研究生态环境保护相关议题，确保统筹研究生态环境保护相关工作。（责任单位：祥龙公司总经理办公室；所属各单位）</w:t>
            </w:r>
          </w:p>
          <w:p w14:paraId="1F32CDC5">
            <w:pPr>
              <w:pStyle w:val="11"/>
              <w:keepNext w:val="0"/>
              <w:keepLines w:val="0"/>
              <w:pageBreakBefore w:val="0"/>
              <w:widowControl/>
              <w:kinsoku w:val="0"/>
              <w:wordWrap/>
              <w:overflowPunct/>
              <w:topLinePunct w:val="0"/>
              <w:autoSpaceDE w:val="0"/>
              <w:autoSpaceDN w:val="0"/>
              <w:bidi w:val="0"/>
              <w:adjustRightInd w:val="0"/>
              <w:snapToGrid w:val="0"/>
              <w:spacing w:line="219" w:lineRule="auto"/>
              <w:ind w:firstLine="480" w:firstLineChars="200"/>
              <w:textAlignment w:val="baseline"/>
              <w:rPr>
                <w:rFonts w:hint="eastAsia" w:ascii="宋体" w:hAnsi="宋体" w:eastAsia="宋体"/>
                <w:sz w:val="24"/>
                <w:szCs w:val="24"/>
                <w:lang w:eastAsia="zh-CN"/>
              </w:rPr>
            </w:pPr>
            <w:r>
              <w:rPr>
                <w:rFonts w:hint="eastAsia" w:ascii="宋体" w:hAnsi="宋体" w:eastAsia="宋体"/>
                <w:sz w:val="24"/>
                <w:szCs w:val="24"/>
                <w:lang w:eastAsia="zh-CN"/>
              </w:rPr>
              <w:t>（三）每年利用领导干部形势理论大讲堂、专题讲座、实地学习等形式，开展至少一次的环保教育培训工作。把学习习近平生态文明思想纳入党员干部教育培训计划，为统筹生态文明保护与企业高质量发展筑牢思想理论基础。（责任单位：祥龙公司党委组织部；所属各单位）</w:t>
            </w:r>
          </w:p>
          <w:p w14:paraId="0EEC33FE">
            <w:pPr>
              <w:pStyle w:val="11"/>
              <w:ind w:firstLine="480" w:firstLineChars="200"/>
              <w:rPr>
                <w:rFonts w:ascii="宋体" w:hAnsi="宋体" w:eastAsia="宋体" w:cs="宋体"/>
                <w:sz w:val="24"/>
                <w:szCs w:val="24"/>
                <w:lang w:eastAsia="zh-CN"/>
              </w:rPr>
            </w:pPr>
            <w:r>
              <w:rPr>
                <w:rFonts w:hint="eastAsia" w:ascii="宋体" w:hAnsi="宋体" w:eastAsia="宋体"/>
                <w:sz w:val="24"/>
                <w:szCs w:val="24"/>
                <w:lang w:eastAsia="zh-CN"/>
              </w:rPr>
              <w:t>（四）将学习贯彻习近平生态文明思想纳入《祥龙公司2025年党委理论学习中心组学习计划》，每半年组织开展1次习近平生态文明思想专题学习，为领导干部配发《习近平生态文明思想学习问答》等学习材料，邀请相关领域专家进行专题辅导，广泛开展政策宣讲等措施，进一步深化全系统领导干部对生态文明建设的理解认识。（责任单位：祥龙公司党委宣传部；所属各单位）</w:t>
            </w:r>
          </w:p>
        </w:tc>
      </w:tr>
      <w:tr w14:paraId="3D1A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jc w:val="center"/>
        </w:trPr>
        <w:tc>
          <w:tcPr>
            <w:tcW w:w="2083" w:type="dxa"/>
            <w:vAlign w:val="center"/>
          </w:tcPr>
          <w:p w14:paraId="3F5DC43A">
            <w:pPr>
              <w:spacing w:before="78" w:line="242" w:lineRule="auto"/>
              <w:ind w:left="675" w:right="302" w:hanging="360"/>
              <w:rPr>
                <w:rFonts w:ascii="宋体" w:hAnsi="宋体" w:eastAsia="宋体" w:cs="宋体"/>
                <w:sz w:val="24"/>
                <w:szCs w:val="24"/>
              </w:rPr>
            </w:pPr>
            <w:r>
              <w:rPr>
                <w:rFonts w:ascii="宋体" w:hAnsi="宋体" w:eastAsia="宋体" w:cs="宋体"/>
                <w:spacing w:val="2"/>
                <w:sz w:val="24"/>
                <w:szCs w:val="24"/>
              </w:rPr>
              <w:t xml:space="preserve">整改主要工作 </w:t>
            </w:r>
            <w:r>
              <w:rPr>
                <w:rFonts w:ascii="宋体" w:hAnsi="宋体" w:eastAsia="宋体" w:cs="宋体"/>
                <w:spacing w:val="-2"/>
                <w:sz w:val="24"/>
                <w:szCs w:val="24"/>
              </w:rPr>
              <w:t>及成效</w:t>
            </w:r>
          </w:p>
        </w:tc>
        <w:tc>
          <w:tcPr>
            <w:tcW w:w="6457" w:type="dxa"/>
            <w:gridSpan w:val="2"/>
            <w:vAlign w:val="center"/>
          </w:tcPr>
          <w:p w14:paraId="2B36CA3B">
            <w:pPr>
              <w:pStyle w:val="11"/>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公司党委坚持将生态环境保护有关议题列入党委议事范围，坚持党建引领、高位统筹生态环保相关工作。2025年共审议生态环保相关议题5项；坚持将习近平生态文明思想列为党委常委会“第一议题”进行传达学习，以更高站位领会讲话精神核心要义，研究贯彻落实意见。2025年4月16日，在第七次党委常委会上，公司党委常委集中学习“中央政治局2025年3月31日会议精神（审议《生态环境保护督察工作条例》）”；2025年10月22日，在第二十一次党委常委会上，公司党委常委集中学习“习近平总书记关于生态文明建设的重要论述”。所属各单位坚持将生态环境保护有关议题列入党委议事范围，党委会以“第一议题”形式，持续学习习近平总书记关于生态文明建设的重要讲话精神，深刻把握讲话重大意义、丰富内涵与实践要求，增强生态环境保护与产业提升、企业经营融合发展的思想自觉和行动自觉。</w:t>
            </w:r>
          </w:p>
          <w:p w14:paraId="3184CDA3">
            <w:pPr>
              <w:pStyle w:val="11"/>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2025年7月11日，第十四次经理办公会审议通过《北京祥龙资产经营有限责任公司生态环境保护管理办法》，该制度为公司生态环保工作提供了系统性、规范化的制度依据；同步审议《祥龙公司空气重污染应急预案》；2025年11月27日，第二十一次经理办公会审议通过《祥龙公司关于贯彻落实第二轮北京市生态环境保护督查报告反馈意见整改情况》。</w:t>
            </w:r>
          </w:p>
          <w:p w14:paraId="2489321D">
            <w:pPr>
              <w:pStyle w:val="11"/>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（三）2025年10月，祥龙公司党委组织新任职干部与所属单位生态环保工作人员联合培训，邀请外部专家专题讲授《ESG标准与企业价值提升》，未来公司党委将采用多样化形式，持续做好生态环保有关内容培训。</w:t>
            </w:r>
          </w:p>
          <w:p w14:paraId="77F4B59B">
            <w:pPr>
              <w:pStyle w:val="11"/>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四）公司党委年初即将习近平生态文明思想纳入年度理论学习中心组学习计划，确立每半年开展专题学习的常态化机制，并通过配发《习近平生态文明思想学习问答》，增强理论学习的系统性与深刻性。党委理论学习中心组充分发挥示范引领作用，先后在理论中心组学习中原原本本学习了《生态环境保护督察工作条例》和《习近平总书记在全国生态环境保护大会上的讲话》，通过领读领学、深度研讨，深刻把握生态文明建设的核心要义与制度要求，切实提升了领导班子对绿色发展极端重要性和系统性的认识。所属各单位通过党委理论学习中心组等多种形式，及时组织学习生态文明新理念、新政策，实现了学习全覆盖。有力推动了习近平生态文明思想在全系统领导干部中入脑入心，增强了践行“绿水青山就是金山银山”理念的思想自觉与行动自觉，为企业在发展中坚定不移走生态优先、绿色发展之路夯实了思想根基。</w:t>
            </w:r>
          </w:p>
        </w:tc>
      </w:tr>
      <w:tr w14:paraId="53BCF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2083" w:type="dxa"/>
            <w:vAlign w:val="center"/>
          </w:tcPr>
          <w:p w14:paraId="2B963AF7">
            <w:pPr>
              <w:spacing w:before="78" w:line="219" w:lineRule="auto"/>
              <w:ind w:left="555"/>
              <w:rPr>
                <w:rFonts w:ascii="宋体" w:hAnsi="宋体" w:eastAsia="宋体" w:cs="宋体"/>
                <w:sz w:val="24"/>
                <w:szCs w:val="24"/>
              </w:rPr>
            </w:pPr>
            <w:r>
              <w:rPr>
                <w:rFonts w:ascii="宋体" w:hAnsi="宋体" w:eastAsia="宋体" w:cs="宋体"/>
                <w:spacing w:val="5"/>
                <w:sz w:val="24"/>
                <w:szCs w:val="24"/>
              </w:rPr>
              <w:t>整改时间</w:t>
            </w:r>
          </w:p>
        </w:tc>
        <w:tc>
          <w:tcPr>
            <w:tcW w:w="6457" w:type="dxa"/>
            <w:gridSpan w:val="2"/>
            <w:vAlign w:val="center"/>
          </w:tcPr>
          <w:p w14:paraId="2BCA7DCA">
            <w:pPr>
              <w:spacing w:before="78" w:line="219" w:lineRule="auto"/>
              <w:jc w:val="center"/>
              <w:rPr>
                <w:rFonts w:ascii="宋体" w:hAnsi="宋体" w:eastAsia="宋体" w:cs="宋体"/>
                <w:sz w:val="24"/>
                <w:szCs w:val="24"/>
              </w:rPr>
            </w:pP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12</w:t>
            </w:r>
            <w:bookmarkStart w:id="0" w:name="_GoBack"/>
            <w:bookmarkEnd w:id="0"/>
            <w:r>
              <w:rPr>
                <w:rFonts w:hint="eastAsia" w:ascii="宋体" w:hAnsi="宋体" w:eastAsia="宋体" w:cs="宋体"/>
                <w:sz w:val="24"/>
                <w:szCs w:val="24"/>
                <w:lang w:eastAsia="zh-CN"/>
              </w:rPr>
              <w:t>月底，长期坚持</w:t>
            </w:r>
          </w:p>
        </w:tc>
      </w:tr>
      <w:tr w14:paraId="7879A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2083" w:type="dxa"/>
            <w:vAlign w:val="center"/>
          </w:tcPr>
          <w:p w14:paraId="7EDFBD03">
            <w:pPr>
              <w:pStyle w:val="11"/>
              <w:spacing w:line="317" w:lineRule="auto"/>
              <w:rPr>
                <w:lang w:eastAsia="zh-CN"/>
              </w:rPr>
            </w:pPr>
          </w:p>
          <w:p w14:paraId="498A73C0">
            <w:pPr>
              <w:spacing w:before="78" w:line="260" w:lineRule="auto"/>
              <w:ind w:left="674" w:right="187" w:hanging="479"/>
              <w:rPr>
                <w:rFonts w:ascii="宋体" w:hAnsi="宋体" w:eastAsia="宋体" w:cs="宋体"/>
                <w:sz w:val="24"/>
                <w:szCs w:val="24"/>
                <w:lang w:eastAsia="zh-CN"/>
              </w:rPr>
            </w:pPr>
            <w:r>
              <w:rPr>
                <w:rFonts w:ascii="宋体" w:hAnsi="宋体" w:eastAsia="宋体" w:cs="宋体"/>
                <w:spacing w:val="1"/>
                <w:sz w:val="24"/>
                <w:szCs w:val="24"/>
                <w:lang w:eastAsia="zh-CN"/>
              </w:rPr>
              <w:t>社会监督联系人</w:t>
            </w:r>
            <w:r>
              <w:rPr>
                <w:rFonts w:ascii="宋体" w:hAnsi="宋体" w:eastAsia="宋体" w:cs="宋体"/>
                <w:spacing w:val="2"/>
                <w:sz w:val="24"/>
                <w:szCs w:val="24"/>
                <w:lang w:eastAsia="zh-CN"/>
              </w:rPr>
              <w:t xml:space="preserve"> </w:t>
            </w:r>
            <w:r>
              <w:rPr>
                <w:rFonts w:ascii="宋体" w:hAnsi="宋体" w:eastAsia="宋体" w:cs="宋体"/>
                <w:spacing w:val="-2"/>
                <w:sz w:val="24"/>
                <w:szCs w:val="24"/>
                <w:lang w:eastAsia="zh-CN"/>
              </w:rPr>
              <w:t>及电话</w:t>
            </w:r>
          </w:p>
        </w:tc>
        <w:tc>
          <w:tcPr>
            <w:tcW w:w="6457" w:type="dxa"/>
            <w:gridSpan w:val="2"/>
            <w:vAlign w:val="center"/>
          </w:tcPr>
          <w:p w14:paraId="059BAB09">
            <w:pPr>
              <w:spacing w:before="26" w:line="219"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李志楠。6</w:t>
            </w:r>
            <w:r>
              <w:rPr>
                <w:rFonts w:ascii="宋体" w:hAnsi="宋体" w:eastAsia="宋体" w:cs="宋体"/>
                <w:sz w:val="24"/>
                <w:szCs w:val="24"/>
                <w:lang w:eastAsia="zh-CN"/>
              </w:rPr>
              <w:t>6253625</w:t>
            </w:r>
          </w:p>
        </w:tc>
      </w:tr>
    </w:tbl>
    <w:p w14:paraId="58C736F5">
      <w:pPr>
        <w:spacing w:before="98" w:line="330" w:lineRule="auto"/>
        <w:ind w:right="155"/>
        <w:rPr>
          <w:rFonts w:ascii="宋体" w:hAnsi="宋体" w:eastAsia="宋体" w:cs="宋体"/>
          <w:sz w:val="25"/>
          <w:szCs w:val="25"/>
          <w:lang w:eastAsia="zh-CN"/>
        </w:rPr>
      </w:pPr>
    </w:p>
    <w:sectPr>
      <w:headerReference r:id="rId3" w:type="default"/>
      <w:footerReference r:id="rId4" w:type="default"/>
      <w:pgSz w:w="11910" w:h="16840"/>
      <w:pgMar w:top="1440" w:right="1800" w:bottom="1440" w:left="1800" w:header="850"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F7E0">
    <w:pPr>
      <w:spacing w:before="1" w:line="234" w:lineRule="auto"/>
      <w:ind w:left="300"/>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0927">
    <w:pPr>
      <w:spacing w:before="81" w:line="224" w:lineRule="auto"/>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92"/>
    <w:rsid w:val="001846D5"/>
    <w:rsid w:val="001872B7"/>
    <w:rsid w:val="001B27D7"/>
    <w:rsid w:val="002046C0"/>
    <w:rsid w:val="00207642"/>
    <w:rsid w:val="005573D0"/>
    <w:rsid w:val="005F2F92"/>
    <w:rsid w:val="00710B64"/>
    <w:rsid w:val="007A6188"/>
    <w:rsid w:val="008A1DE2"/>
    <w:rsid w:val="009C7973"/>
    <w:rsid w:val="00A27D8E"/>
    <w:rsid w:val="00A67934"/>
    <w:rsid w:val="00AC3337"/>
    <w:rsid w:val="00B009D6"/>
    <w:rsid w:val="00B20E37"/>
    <w:rsid w:val="00C6679E"/>
    <w:rsid w:val="00C74F57"/>
    <w:rsid w:val="00CC439D"/>
    <w:rsid w:val="00D32199"/>
    <w:rsid w:val="00DF29DD"/>
    <w:rsid w:val="00DF3146"/>
    <w:rsid w:val="00E90B86"/>
    <w:rsid w:val="00EA4D65"/>
    <w:rsid w:val="00EF1DA4"/>
    <w:rsid w:val="00EF595E"/>
    <w:rsid w:val="00F73477"/>
    <w:rsid w:val="00FA0F63"/>
    <w:rsid w:val="5139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6"/>
    <w:semiHidden/>
    <w:unhideWhenUsed/>
    <w:qFormat/>
    <w:uiPriority w:val="99"/>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4">
    <w:name w:val="Body Text"/>
    <w:basedOn w:val="1"/>
    <w:semiHidden/>
    <w:qFormat/>
    <w:uiPriority w:val="0"/>
    <w:rPr>
      <w:rFonts w:eastAsia="Arial"/>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uiPriority w:val="99"/>
    <w:pPr>
      <w:tabs>
        <w:tab w:val="center" w:pos="4153"/>
        <w:tab w:val="right" w:pos="8306"/>
      </w:tabs>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jc w:val="center"/>
    </w:pPr>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eastAsia="Arial"/>
    </w:rPr>
  </w:style>
  <w:style w:type="character" w:customStyle="1" w:styleId="12">
    <w:name w:val="页眉 字符"/>
    <w:basedOn w:val="9"/>
    <w:link w:val="7"/>
    <w:uiPriority w:val="99"/>
    <w:rPr>
      <w:sz w:val="18"/>
      <w:szCs w:val="18"/>
    </w:rPr>
  </w:style>
  <w:style w:type="character" w:customStyle="1" w:styleId="13">
    <w:name w:val="页脚 字符"/>
    <w:basedOn w:val="9"/>
    <w:link w:val="6"/>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正文文本缩进 字符"/>
    <w:basedOn w:val="9"/>
    <w:link w:val="3"/>
    <w:semiHidden/>
    <w:qFormat/>
    <w:uiPriority w:val="99"/>
  </w:style>
  <w:style w:type="character" w:customStyle="1" w:styleId="16">
    <w:name w:val="正文文本首行缩进 2 字符"/>
    <w:basedOn w:val="15"/>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C090-B28A-4A32-90A6-95788CF5807F}">
  <ds:schemaRefs/>
</ds:datastoreItem>
</file>

<file path=docProps/app.xml><?xml version="1.0" encoding="utf-8"?>
<Properties xmlns="http://schemas.openxmlformats.org/officeDocument/2006/extended-properties" xmlns:vt="http://schemas.openxmlformats.org/officeDocument/2006/docPropsVTypes">
  <Template>Normal</Template>
  <Pages>3</Pages>
  <Words>1092</Words>
  <Characters>1116</Characters>
  <Lines>8</Lines>
  <Paragraphs>2</Paragraphs>
  <TotalTime>0</TotalTime>
  <ScaleCrop>false</ScaleCrop>
  <LinksUpToDate>false</LinksUpToDate>
  <CharactersWithSpaces>1118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2025-08-05T00:39:00Z</dcterms:created>
  <dc:creator>glb aq</dc:creator>
  <cp:lastModifiedBy>李志楠</cp:lastModifiedBy>
  <cp:lastPrinted>2025-07-24T01:44:00Z</cp:lastPrinted>
  <dcterms:modified xsi:type="dcterms:W3CDTF">2026-01-04T07:34:22Z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2025-06-13T16:16:13Z</vt:filetime>
  </property>
  <property fmtid="{D5CDD505-2E9C-101B-9397-08002B2CF9AE}" pid="4" name="UsrData">
    <vt:lpwstr>684bde477ff865001f7e18e8wl</vt:lpwstr>
  </property>
  <property fmtid="{D5CDD505-2E9C-101B-9397-08002B2CF9AE}" pid="5" name="KSOTemplateDocerSaveRecord">
    <vt:lpwstr>eyJoZGlkIjoiY2RhMzhhODMzYWUwMWJjMjJhNDYzNjVlM2M4MzQ2OGUiLCJ1c2VySWQiOiIxNzY2OTY2NDI5In0=</vt:lpwstr>
  </property>
  <property fmtid="{D5CDD505-2E9C-101B-9397-08002B2CF9AE}" pid="6" name="KSOProductBuildVer">
    <vt:lpwstr>2052-12.1.0.24034</vt:lpwstr>
  </property>
  <property fmtid="{D5CDD505-2E9C-101B-9397-08002B2CF9AE}" pid="7" name="ICV">
    <vt:lpwstr>0B3807D386484195BD527217726BD3CF_12</vt:lpwstr>
  </property>
</Properties>
</file>