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8BC5">
      <w:pPr>
        <w:pStyle w:val="2"/>
        <w:spacing w:line="458" w:lineRule="auto"/>
        <w:rPr>
          <w:rFonts w:ascii="黑体" w:hAnsi="黑体" w:eastAsia="黑体"/>
          <w:b/>
          <w:sz w:val="31"/>
          <w:szCs w:val="31"/>
          <w:lang w:eastAsia="zh-CN"/>
        </w:rPr>
      </w:pPr>
      <w:r>
        <w:rPr>
          <w:rFonts w:hint="eastAsia" w:ascii="黑体" w:hAnsi="黑体" w:eastAsia="黑体" w:cs="宋体"/>
          <w:b/>
          <w:sz w:val="31"/>
          <w:szCs w:val="31"/>
          <w:lang w:eastAsia="zh-CN"/>
        </w:rPr>
        <w:t>附件2</w:t>
      </w:r>
    </w:p>
    <w:p w14:paraId="024361FE">
      <w:pPr>
        <w:spacing w:before="143" w:line="219" w:lineRule="auto"/>
        <w:jc w:val="center"/>
        <w:rPr>
          <w:rFonts w:ascii="宋体" w:hAnsi="宋体" w:eastAsia="宋体" w:cs="宋体"/>
          <w:b/>
          <w:bCs/>
          <w:spacing w:val="-3"/>
          <w:sz w:val="44"/>
          <w:szCs w:val="44"/>
          <w:lang w:eastAsia="zh-CN"/>
        </w:rPr>
      </w:pPr>
    </w:p>
    <w:p w14:paraId="59F6CAE5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eastAsia="zh-CN"/>
        </w:rPr>
        <w:t>北京市</w:t>
      </w:r>
      <w:r>
        <w:rPr>
          <w:rFonts w:ascii="宋体" w:hAnsi="宋体" w:eastAsia="宋体" w:cs="宋体"/>
          <w:b/>
          <w:bCs/>
          <w:spacing w:val="-3"/>
          <w:sz w:val="44"/>
          <w:szCs w:val="44"/>
          <w:lang w:eastAsia="zh-CN"/>
        </w:rPr>
        <w:t>生态环境保护督察整改情况公示表</w:t>
      </w:r>
    </w:p>
    <w:p w14:paraId="28F7ADA1">
      <w:pPr>
        <w:spacing w:before="178" w:line="219" w:lineRule="auto"/>
        <w:ind w:left="3145"/>
        <w:rPr>
          <w:rFonts w:ascii="宋体" w:hAnsi="宋体" w:eastAsia="宋体" w:cs="宋体"/>
          <w:sz w:val="29"/>
          <w:szCs w:val="29"/>
          <w:lang w:eastAsia="zh-CN"/>
        </w:rPr>
      </w:pPr>
    </w:p>
    <w:p w14:paraId="0FF74FF4">
      <w:pPr>
        <w:spacing w:line="18" w:lineRule="exact"/>
        <w:rPr>
          <w:lang w:eastAsia="zh-CN"/>
        </w:rPr>
      </w:pPr>
    </w:p>
    <w:tbl>
      <w:tblPr>
        <w:tblStyle w:val="11"/>
        <w:tblW w:w="8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238"/>
        <w:gridCol w:w="5219"/>
      </w:tblGrid>
      <w:tr w14:paraId="30C67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083" w:type="dxa"/>
            <w:vMerge w:val="restart"/>
            <w:tcBorders>
              <w:bottom w:val="nil"/>
            </w:tcBorders>
            <w:vAlign w:val="center"/>
          </w:tcPr>
          <w:p w14:paraId="4CADB7D9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整改任务</w:t>
            </w:r>
          </w:p>
        </w:tc>
        <w:tc>
          <w:tcPr>
            <w:tcW w:w="1238" w:type="dxa"/>
            <w:vAlign w:val="center"/>
          </w:tcPr>
          <w:p w14:paraId="4C233CCC">
            <w:pPr>
              <w:spacing w:before="185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任务编号</w:t>
            </w:r>
          </w:p>
        </w:tc>
        <w:tc>
          <w:tcPr>
            <w:tcW w:w="5219" w:type="dxa"/>
            <w:vAlign w:val="center"/>
          </w:tcPr>
          <w:p w14:paraId="06678E2C">
            <w:pPr>
              <w:spacing w:before="185" w:line="219" w:lineRule="auto"/>
              <w:ind w:firstLine="240" w:firstLineChars="1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祥龙公司整改方案第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</w:t>
            </w:r>
          </w:p>
        </w:tc>
      </w:tr>
      <w:tr w14:paraId="224F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083" w:type="dxa"/>
            <w:vMerge w:val="continue"/>
            <w:tcBorders>
              <w:top w:val="nil"/>
            </w:tcBorders>
            <w:vAlign w:val="center"/>
          </w:tcPr>
          <w:p w14:paraId="6CBAFEDA">
            <w:pPr>
              <w:pStyle w:val="12"/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653B29AA">
            <w:pPr>
              <w:spacing w:before="181" w:line="219" w:lineRule="auto"/>
              <w:ind w:left="13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问题概述</w:t>
            </w:r>
          </w:p>
        </w:tc>
        <w:tc>
          <w:tcPr>
            <w:tcW w:w="5219" w:type="dxa"/>
            <w:vAlign w:val="center"/>
          </w:tcPr>
          <w:p w14:paraId="68D6991D">
            <w:pPr>
              <w:pStyle w:val="12"/>
              <w:ind w:firstLine="440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在推进绿色高质量发展方面，生态环境保护主体责任落实不到位。主体责任缺失，个别企业对自身承担的生态环境保护责任认识不到位，底线意识不强，违法违规问题时有发生。机动车拆解厂生态环境问题突出。博瑞联通公司主体责任落实不到位，机动车回收拆解过程环境污染问题多发。卸油区未采取密闭措施，未配备油气回收装置，挥发性有机物无组织排放问题突出，处理设施的活性炭自2022年底以来长期未更换；厂内28台非道路移动机械中23台无编码，抽测21台六成超标。露天拆解现象较为普遍，防雨、防渗不到位，大量拆解产物露天堆放，废油废液遗撒问题多发；汛期含油废水流入未做防渗的雨水管网，经检测石油类超地表水V类水体标准10倍。危险废物管理不严，台账不全、底数不清，厂区违规贮存约10吨废三元催化器未及时转运，抽查118个有65%的催化剂载体遗失；废油泥、含油锯末未按规定收集转运，存在较大环境风险。此外，该企业未按规定设置独立新能源动力电池贮存区，未对空调制冷剂进行回收。</w:t>
            </w:r>
          </w:p>
        </w:tc>
      </w:tr>
      <w:tr w14:paraId="5082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2083" w:type="dxa"/>
            <w:vAlign w:val="center"/>
          </w:tcPr>
          <w:p w14:paraId="52500EF7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6457" w:type="dxa"/>
            <w:gridSpan w:val="2"/>
            <w:vAlign w:val="center"/>
          </w:tcPr>
          <w:p w14:paraId="627DB472">
            <w:pPr>
              <w:pStyle w:val="1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祥龙博瑞集团；祥龙公司安全环保部</w:t>
            </w:r>
          </w:p>
        </w:tc>
      </w:tr>
      <w:tr w14:paraId="3CC4A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083" w:type="dxa"/>
            <w:vAlign w:val="center"/>
          </w:tcPr>
          <w:p w14:paraId="5C18A3C4">
            <w:pPr>
              <w:spacing w:before="313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整改目标</w:t>
            </w:r>
          </w:p>
        </w:tc>
        <w:tc>
          <w:tcPr>
            <w:tcW w:w="6457" w:type="dxa"/>
            <w:gridSpan w:val="2"/>
            <w:vAlign w:val="center"/>
          </w:tcPr>
          <w:p w14:paraId="29D979E9">
            <w:pPr>
              <w:pStyle w:val="1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加大监督检查力度，压紧压实主体责任，规范企业经营行为。</w:t>
            </w:r>
          </w:p>
        </w:tc>
      </w:tr>
      <w:tr w14:paraId="47A1D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083" w:type="dxa"/>
            <w:vAlign w:val="center"/>
          </w:tcPr>
          <w:p w14:paraId="4361C2B3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整改措施</w:t>
            </w:r>
          </w:p>
        </w:tc>
        <w:tc>
          <w:tcPr>
            <w:tcW w:w="6457" w:type="dxa"/>
            <w:gridSpan w:val="2"/>
            <w:vAlign w:val="center"/>
          </w:tcPr>
          <w:p w14:paraId="10079DED">
            <w:pPr>
              <w:pStyle w:val="12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对废油液回收区域进行改造，封闭作业区域，配备油气回收装置。按期对处理设施的活性炭进行更换并登记记录。建立危险废物台账及转运联单记录；与有资质的第三方公司签订合同，办理转运手续，及时转运废三元催化器；完善催化剂载体登记管控流程。对超标车辆加装尾气净化装置，使之符合环保要求；对无编码非道路移动机械进行编码申请；对园区作业叉车实施电动化。</w:t>
            </w:r>
          </w:p>
          <w:p w14:paraId="463DAFF4">
            <w:pPr>
              <w:pStyle w:val="12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对拆解车间进行防渗改造，将拆解作业移至室内，并加强监督检查严禁露天拆解；加大对固体废弃物的清运频次，及时清理产生的固体废弃物；配备防遗撒应急物资，在指定区域放置锯末收集桶，做好应急处理。规范拆解作业，有效减少含油废物遗撒。按拆解规范要求完成动力电池贮存专区设置；购置空调制冷剂回收设备及配套设施，及时做好制冷剂回收和转运。</w:t>
            </w:r>
          </w:p>
          <w:p w14:paraId="5E3DDF6C">
            <w:pPr>
              <w:pStyle w:val="12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（三）梳理园区内的雨水管线，封堵废旧管线。</w:t>
            </w:r>
          </w:p>
          <w:p w14:paraId="6977734E">
            <w:pPr>
              <w:pStyle w:val="12"/>
              <w:ind w:firstLine="440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（四）将上述隐患问题纳入日常安全检查范围中。</w:t>
            </w:r>
          </w:p>
        </w:tc>
      </w:tr>
      <w:tr w14:paraId="4AA8B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jc w:val="center"/>
        </w:trPr>
        <w:tc>
          <w:tcPr>
            <w:tcW w:w="2083" w:type="dxa"/>
            <w:vAlign w:val="center"/>
          </w:tcPr>
          <w:p w14:paraId="19779921">
            <w:pPr>
              <w:spacing w:before="78" w:line="242" w:lineRule="auto"/>
              <w:ind w:left="675" w:right="302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整改主要工作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及成效</w:t>
            </w:r>
          </w:p>
        </w:tc>
        <w:tc>
          <w:tcPr>
            <w:tcW w:w="6457" w:type="dxa"/>
            <w:gridSpan w:val="2"/>
            <w:vAlign w:val="center"/>
          </w:tcPr>
          <w:p w14:paraId="2EA94550">
            <w:pPr>
              <w:pStyle w:val="12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对废油液回收区域进行改造，封闭作业区域，配备油气回收装置。按期对处理设施的活性炭进行更换并登记记录。建立危险废物台账及转运联单记录；与有资质的第三方公司签订合同，办理转运手续，及时转运废三元催化器；完善催化剂载体登记管控流程。对超标车辆加装尾气净化装置，使之符合环保要求；对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编码非道路移动机械进行编码申请；对园区作业叉车实施电动化。</w:t>
            </w:r>
          </w:p>
          <w:p w14:paraId="7B93D671">
            <w:pPr>
              <w:pStyle w:val="12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对拆解车间进行防渗改造，将拆解作业移至室内，并加强监督检查严禁露天拆解；加大对固体废弃物的清运频次，及时清理产生的固体废弃物；配备防遗撒应急物资，在指定区域放置锯末收集桶，做好应急处理。规范拆解作业，有效减少含油废物遗撒。按拆解规范要求完成动力电池贮存专区设置；购置空调制冷剂回收设备及配套设施，及时做好制冷剂回收和转运。</w:t>
            </w:r>
          </w:p>
          <w:p w14:paraId="2827EE19">
            <w:pPr>
              <w:pStyle w:val="12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（三）梳理园区内的雨水管线，封堵废旧管线。</w:t>
            </w:r>
          </w:p>
          <w:p w14:paraId="1137838C">
            <w:pPr>
              <w:pStyle w:val="12"/>
              <w:ind w:firstLine="480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（四）将上述隐患问题纳入日常安全检查范围中。</w:t>
            </w:r>
          </w:p>
        </w:tc>
      </w:tr>
      <w:tr w14:paraId="03044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083" w:type="dxa"/>
            <w:vAlign w:val="center"/>
          </w:tcPr>
          <w:p w14:paraId="5C61213F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整改时间</w:t>
            </w:r>
          </w:p>
        </w:tc>
        <w:tc>
          <w:tcPr>
            <w:tcW w:w="6457" w:type="dxa"/>
            <w:gridSpan w:val="2"/>
            <w:vAlign w:val="center"/>
          </w:tcPr>
          <w:p w14:paraId="62DC121D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月底，长期坚持</w:t>
            </w:r>
          </w:p>
        </w:tc>
      </w:tr>
      <w:tr w14:paraId="17B49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2083" w:type="dxa"/>
            <w:vAlign w:val="center"/>
          </w:tcPr>
          <w:p w14:paraId="723CE174">
            <w:pPr>
              <w:pStyle w:val="12"/>
              <w:spacing w:line="317" w:lineRule="auto"/>
              <w:rPr>
                <w:lang w:eastAsia="zh-CN"/>
              </w:rPr>
            </w:pPr>
          </w:p>
          <w:p w14:paraId="010DEE4C">
            <w:pPr>
              <w:spacing w:before="78" w:line="260" w:lineRule="auto"/>
              <w:ind w:left="674" w:right="187" w:hanging="47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社会监督联系人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6457" w:type="dxa"/>
            <w:gridSpan w:val="2"/>
            <w:vAlign w:val="center"/>
          </w:tcPr>
          <w:p w14:paraId="528EA00F">
            <w:pPr>
              <w:spacing w:before="26" w:line="219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李志楠。6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6253625</w:t>
            </w:r>
          </w:p>
        </w:tc>
      </w:tr>
    </w:tbl>
    <w:p w14:paraId="5E5F87E3">
      <w:pPr>
        <w:spacing w:before="98" w:line="330" w:lineRule="auto"/>
        <w:ind w:right="155"/>
        <w:rPr>
          <w:rFonts w:ascii="宋体" w:hAnsi="宋体" w:eastAsia="宋体" w:cs="宋体"/>
          <w:sz w:val="25"/>
          <w:szCs w:val="25"/>
          <w:lang w:eastAsia="zh-CN"/>
        </w:rPr>
      </w:pPr>
    </w:p>
    <w:sectPr>
      <w:headerReference r:id="rId3" w:type="default"/>
      <w:footerReference r:id="rId4" w:type="default"/>
      <w:pgSz w:w="11910" w:h="16840"/>
      <w:pgMar w:top="1440" w:right="1800" w:bottom="1440" w:left="1800" w:header="850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F51DD">
    <w:pPr>
      <w:spacing w:before="1" w:line="234" w:lineRule="auto"/>
      <w:ind w:left="300"/>
      <w:rPr>
        <w:rFonts w:ascii="宋体" w:hAnsi="宋体" w:eastAsia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8ED16">
    <w:pPr>
      <w:spacing w:before="81" w:line="224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92"/>
    <w:rsid w:val="001846D5"/>
    <w:rsid w:val="001872B7"/>
    <w:rsid w:val="001B27D7"/>
    <w:rsid w:val="002046C0"/>
    <w:rsid w:val="00207642"/>
    <w:rsid w:val="005573D0"/>
    <w:rsid w:val="005F2F92"/>
    <w:rsid w:val="00710B64"/>
    <w:rsid w:val="007A6188"/>
    <w:rsid w:val="008A1DE2"/>
    <w:rsid w:val="009C7973"/>
    <w:rsid w:val="00A27D8E"/>
    <w:rsid w:val="00A67934"/>
    <w:rsid w:val="00AC3337"/>
    <w:rsid w:val="00B009D6"/>
    <w:rsid w:val="00B20E37"/>
    <w:rsid w:val="00C6679E"/>
    <w:rsid w:val="00C74F57"/>
    <w:rsid w:val="00CC439D"/>
    <w:rsid w:val="00D32199"/>
    <w:rsid w:val="00DF29DD"/>
    <w:rsid w:val="00DF3146"/>
    <w:rsid w:val="00E90B86"/>
    <w:rsid w:val="00EA4D65"/>
    <w:rsid w:val="00EF1DA4"/>
    <w:rsid w:val="00EF595E"/>
    <w:rsid w:val="00F73477"/>
    <w:rsid w:val="00FA0F63"/>
    <w:rsid w:val="176B4272"/>
    <w:rsid w:val="563565ED"/>
    <w:rsid w:val="6F90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 2"/>
    <w:basedOn w:val="3"/>
    <w:link w:val="17"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eastAsia="Arial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缩进 字符"/>
    <w:basedOn w:val="10"/>
    <w:link w:val="3"/>
    <w:semiHidden/>
    <w:qFormat/>
    <w:uiPriority w:val="99"/>
  </w:style>
  <w:style w:type="character" w:customStyle="1" w:styleId="17">
    <w:name w:val="正文文本首行缩进 2 字符"/>
    <w:basedOn w:val="16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C090-B28A-4A32-90A6-95788CF58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914</Words>
  <Characters>935</Characters>
  <Lines>8</Lines>
  <Paragraphs>2</Paragraphs>
  <TotalTime>0</TotalTime>
  <ScaleCrop>false</ScaleCrop>
  <LinksUpToDate>false</LinksUpToDate>
  <CharactersWithSpaces>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2025-08-05T00:39:00Z</dcterms:created>
  <dc:creator>glb aq</dc:creator>
  <cp:lastModifiedBy>李志楠</cp:lastModifiedBy>
  <cp:lastPrinted>2025-07-24T01:44:00Z</cp:lastPrinted>
  <dcterms:modified xsi:type="dcterms:W3CDTF">2026-01-04T05:21:57Z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2025-06-13T16:16:13Z</vt:filetime>
  </property>
  <property fmtid="{D5CDD505-2E9C-101B-9397-08002B2CF9AE}" pid="4" name="UsrData">
    <vt:lpwstr>684bde477ff865001f7e18e8wl</vt:lpwstr>
  </property>
  <property fmtid="{D5CDD505-2E9C-101B-9397-08002B2CF9AE}" pid="5" name="KSOTemplateDocerSaveRecord">
    <vt:lpwstr>eyJoZGlkIjoiY2RhMzhhODMzYWUwMWJjMjJhNDYzNjVlM2M4MzQ2OGUiLCJ1c2VySWQiOiIxNzY2OTY2NDI5In0=</vt:lpwstr>
  </property>
  <property fmtid="{D5CDD505-2E9C-101B-9397-08002B2CF9AE}" pid="6" name="KSOProductBuildVer">
    <vt:lpwstr>2052-12.1.0.24034</vt:lpwstr>
  </property>
  <property fmtid="{D5CDD505-2E9C-101B-9397-08002B2CF9AE}" pid="7" name="ICV">
    <vt:lpwstr>A730F647C8EB46D6A5E22EF22DE416AC_12</vt:lpwstr>
  </property>
</Properties>
</file>