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28BC5">
      <w:pPr>
        <w:pStyle w:val="2"/>
        <w:spacing w:line="458" w:lineRule="auto"/>
        <w:rPr>
          <w:rFonts w:ascii="黑体" w:hAnsi="黑体" w:eastAsia="黑体"/>
          <w:b/>
          <w:sz w:val="31"/>
          <w:szCs w:val="31"/>
          <w:lang w:eastAsia="zh-CN"/>
        </w:rPr>
      </w:pPr>
      <w:r>
        <w:rPr>
          <w:rFonts w:hint="eastAsia" w:ascii="黑体" w:hAnsi="黑体" w:eastAsia="黑体" w:cs="宋体"/>
          <w:b/>
          <w:sz w:val="31"/>
          <w:szCs w:val="31"/>
          <w:lang w:eastAsia="zh-CN"/>
        </w:rPr>
        <w:t>附件2</w:t>
      </w:r>
    </w:p>
    <w:p w14:paraId="024361FE">
      <w:pPr>
        <w:spacing w:before="143" w:line="219" w:lineRule="auto"/>
        <w:jc w:val="center"/>
        <w:rPr>
          <w:rFonts w:ascii="宋体" w:hAnsi="宋体" w:eastAsia="宋体" w:cs="宋体"/>
          <w:b/>
          <w:bCs/>
          <w:spacing w:val="-3"/>
          <w:sz w:val="44"/>
          <w:szCs w:val="44"/>
          <w:lang w:eastAsia="zh-CN"/>
        </w:rPr>
      </w:pPr>
    </w:p>
    <w:p w14:paraId="59F6CAE5">
      <w:pPr>
        <w:spacing w:before="143" w:line="219" w:lineRule="auto"/>
        <w:jc w:val="center"/>
        <w:rPr>
          <w:rFonts w:ascii="宋体" w:hAnsi="宋体" w:eastAsia="宋体" w:cs="宋体"/>
          <w:sz w:val="44"/>
          <w:szCs w:val="44"/>
          <w:lang w:eastAsia="zh-CN"/>
        </w:rPr>
      </w:pPr>
      <w:r>
        <w:rPr>
          <w:rFonts w:hint="eastAsia" w:ascii="宋体" w:hAnsi="宋体" w:eastAsia="宋体" w:cs="宋体"/>
          <w:b/>
          <w:bCs/>
          <w:spacing w:val="-3"/>
          <w:sz w:val="44"/>
          <w:szCs w:val="44"/>
          <w:lang w:eastAsia="zh-CN"/>
        </w:rPr>
        <w:t>北京市</w:t>
      </w:r>
      <w:r>
        <w:rPr>
          <w:rFonts w:ascii="宋体" w:hAnsi="宋体" w:eastAsia="宋体" w:cs="宋体"/>
          <w:b/>
          <w:bCs/>
          <w:spacing w:val="-3"/>
          <w:sz w:val="44"/>
          <w:szCs w:val="44"/>
          <w:lang w:eastAsia="zh-CN"/>
        </w:rPr>
        <w:t>生态环境保护督察整改情况公示表</w:t>
      </w:r>
    </w:p>
    <w:p w14:paraId="28F7ADA1">
      <w:pPr>
        <w:spacing w:before="178" w:line="219" w:lineRule="auto"/>
        <w:ind w:left="3145"/>
        <w:rPr>
          <w:rFonts w:ascii="宋体" w:hAnsi="宋体" w:eastAsia="宋体" w:cs="宋体"/>
          <w:sz w:val="29"/>
          <w:szCs w:val="29"/>
          <w:lang w:eastAsia="zh-CN"/>
        </w:rPr>
      </w:pPr>
    </w:p>
    <w:p w14:paraId="0FF74FF4">
      <w:pPr>
        <w:spacing w:line="18" w:lineRule="exact"/>
        <w:rPr>
          <w:lang w:eastAsia="zh-CN"/>
        </w:rPr>
      </w:pPr>
    </w:p>
    <w:tbl>
      <w:tblPr>
        <w:tblStyle w:val="11"/>
        <w:tblW w:w="85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3"/>
        <w:gridCol w:w="1238"/>
        <w:gridCol w:w="5219"/>
      </w:tblGrid>
      <w:tr w14:paraId="30C67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2083" w:type="dxa"/>
            <w:vMerge w:val="restart"/>
            <w:tcBorders>
              <w:bottom w:val="nil"/>
            </w:tcBorders>
            <w:vAlign w:val="center"/>
          </w:tcPr>
          <w:p w14:paraId="4CADB7D9">
            <w:pPr>
              <w:spacing w:before="78" w:line="219" w:lineRule="auto"/>
              <w:ind w:left="555"/>
              <w:rPr>
                <w:rFonts w:ascii="宋体" w:hAnsi="宋体" w:eastAsia="宋体" w:cs="宋体"/>
                <w:sz w:val="24"/>
                <w:szCs w:val="24"/>
              </w:rPr>
            </w:pPr>
            <w:r>
              <w:rPr>
                <w:rFonts w:ascii="宋体" w:hAnsi="宋体" w:eastAsia="宋体" w:cs="宋体"/>
                <w:spacing w:val="2"/>
                <w:sz w:val="24"/>
                <w:szCs w:val="24"/>
              </w:rPr>
              <w:t>整改任务</w:t>
            </w:r>
          </w:p>
        </w:tc>
        <w:tc>
          <w:tcPr>
            <w:tcW w:w="1238" w:type="dxa"/>
            <w:vAlign w:val="center"/>
          </w:tcPr>
          <w:p w14:paraId="4C233CCC">
            <w:pPr>
              <w:spacing w:before="185" w:line="219" w:lineRule="auto"/>
              <w:ind w:left="132"/>
              <w:rPr>
                <w:rFonts w:ascii="宋体" w:hAnsi="宋体" w:eastAsia="宋体" w:cs="宋体"/>
                <w:sz w:val="24"/>
                <w:szCs w:val="24"/>
              </w:rPr>
            </w:pPr>
            <w:r>
              <w:rPr>
                <w:rFonts w:ascii="宋体" w:hAnsi="宋体" w:eastAsia="宋体" w:cs="宋体"/>
                <w:spacing w:val="3"/>
                <w:sz w:val="24"/>
                <w:szCs w:val="24"/>
              </w:rPr>
              <w:t>任务编号</w:t>
            </w:r>
          </w:p>
        </w:tc>
        <w:tc>
          <w:tcPr>
            <w:tcW w:w="5219" w:type="dxa"/>
            <w:vAlign w:val="center"/>
          </w:tcPr>
          <w:p w14:paraId="06678E2C">
            <w:pPr>
              <w:spacing w:before="185" w:line="219" w:lineRule="auto"/>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祥龙公司整改方案第</w:t>
            </w:r>
            <w:r>
              <w:rPr>
                <w:rFonts w:hint="eastAsia" w:ascii="宋体" w:hAnsi="宋体" w:eastAsia="宋体" w:cs="宋体"/>
                <w:sz w:val="24"/>
                <w:szCs w:val="24"/>
                <w:lang w:val="en-US" w:eastAsia="zh-CN"/>
              </w:rPr>
              <w:t>十五</w:t>
            </w:r>
            <w:r>
              <w:rPr>
                <w:rFonts w:hint="eastAsia" w:ascii="宋体" w:hAnsi="宋体" w:eastAsia="宋体" w:cs="宋体"/>
                <w:sz w:val="24"/>
                <w:szCs w:val="24"/>
                <w:lang w:eastAsia="zh-CN"/>
              </w:rPr>
              <w:t>项</w:t>
            </w:r>
          </w:p>
        </w:tc>
      </w:tr>
      <w:tr w14:paraId="224FD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2083" w:type="dxa"/>
            <w:vMerge w:val="continue"/>
            <w:tcBorders>
              <w:top w:val="nil"/>
            </w:tcBorders>
            <w:vAlign w:val="center"/>
          </w:tcPr>
          <w:p w14:paraId="6CBAFEDA">
            <w:pPr>
              <w:pStyle w:val="12"/>
              <w:rPr>
                <w:lang w:eastAsia="zh-CN"/>
              </w:rPr>
            </w:pPr>
          </w:p>
        </w:tc>
        <w:tc>
          <w:tcPr>
            <w:tcW w:w="1238" w:type="dxa"/>
            <w:vAlign w:val="center"/>
          </w:tcPr>
          <w:p w14:paraId="653B29AA">
            <w:pPr>
              <w:spacing w:before="181" w:line="219" w:lineRule="auto"/>
              <w:ind w:left="132"/>
              <w:rPr>
                <w:rFonts w:ascii="宋体" w:hAnsi="宋体" w:eastAsia="宋体" w:cs="宋体"/>
                <w:sz w:val="24"/>
                <w:szCs w:val="24"/>
                <w:lang w:eastAsia="zh-CN"/>
              </w:rPr>
            </w:pPr>
            <w:r>
              <w:rPr>
                <w:rFonts w:ascii="宋体" w:hAnsi="宋体" w:eastAsia="宋体" w:cs="宋体"/>
                <w:sz w:val="24"/>
                <w:szCs w:val="24"/>
                <w:lang w:eastAsia="zh-CN"/>
              </w:rPr>
              <w:t>问题概述</w:t>
            </w:r>
          </w:p>
        </w:tc>
        <w:tc>
          <w:tcPr>
            <w:tcW w:w="5219" w:type="dxa"/>
            <w:vAlign w:val="center"/>
          </w:tcPr>
          <w:p w14:paraId="68D6991D">
            <w:pPr>
              <w:pStyle w:val="12"/>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一些生态环境问题亟待解决。公司目前处于转型发展、培育新质生产力的关键期，一些生态环境问题亟需加快解决。资产项目管理存在漏洞。大兴区北臧危险品仓库约500亩土地于2010年划归公司所有。督察发现，该地块长期失管，环境问题多发，园区内1家非法混凝土搅拌站、2条建筑垃圾破碎生产线和2家汽修点</w:t>
            </w:r>
            <w:bookmarkStart w:id="0" w:name="_GoBack"/>
            <w:bookmarkEnd w:id="0"/>
            <w:r>
              <w:rPr>
                <w:rFonts w:hint="eastAsia" w:ascii="宋体" w:hAnsi="宋体" w:eastAsia="宋体" w:cs="宋体"/>
                <w:sz w:val="24"/>
                <w:szCs w:val="24"/>
                <w:lang w:eastAsia="zh-CN"/>
              </w:rPr>
              <w:t>无相关手续，长期违法生产经营；现场违规堆存200余万立方米建筑垃圾级建筑骨料，抑尘措施不到位；此外还存在私设自备井、盗采地下水、污水直排等行为。</w:t>
            </w:r>
          </w:p>
        </w:tc>
      </w:tr>
      <w:tr w14:paraId="50821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2083" w:type="dxa"/>
            <w:vAlign w:val="center"/>
          </w:tcPr>
          <w:p w14:paraId="52500EF7">
            <w:pPr>
              <w:spacing w:before="78" w:line="219" w:lineRule="auto"/>
              <w:ind w:left="555"/>
              <w:rPr>
                <w:rFonts w:ascii="宋体" w:hAnsi="宋体" w:eastAsia="宋体" w:cs="宋体"/>
                <w:sz w:val="24"/>
                <w:szCs w:val="24"/>
              </w:rPr>
            </w:pPr>
            <w:r>
              <w:rPr>
                <w:rFonts w:ascii="宋体" w:hAnsi="宋体" w:eastAsia="宋体" w:cs="宋体"/>
                <w:spacing w:val="2"/>
                <w:sz w:val="24"/>
                <w:szCs w:val="24"/>
              </w:rPr>
              <w:t>责任单位</w:t>
            </w:r>
          </w:p>
        </w:tc>
        <w:tc>
          <w:tcPr>
            <w:tcW w:w="6457" w:type="dxa"/>
            <w:gridSpan w:val="2"/>
            <w:vAlign w:val="center"/>
          </w:tcPr>
          <w:p w14:paraId="627DB472">
            <w:pPr>
              <w:pStyle w:val="12"/>
              <w:rPr>
                <w:rFonts w:ascii="宋体" w:hAnsi="宋体" w:eastAsia="宋体" w:cs="宋体"/>
                <w:sz w:val="24"/>
                <w:szCs w:val="24"/>
                <w:lang w:eastAsia="zh-CN"/>
              </w:rPr>
            </w:pPr>
            <w:r>
              <w:rPr>
                <w:rFonts w:hint="eastAsia" w:ascii="宋体" w:hAnsi="宋体" w:eastAsia="宋体" w:cs="宋体"/>
                <w:sz w:val="22"/>
                <w:szCs w:val="22"/>
                <w:lang w:eastAsia="zh-CN"/>
              </w:rPr>
              <w:t>祥龙</w:t>
            </w:r>
            <w:r>
              <w:rPr>
                <w:rFonts w:hint="eastAsia" w:ascii="宋体" w:hAnsi="宋体" w:eastAsia="宋体" w:cs="宋体"/>
                <w:sz w:val="22"/>
                <w:szCs w:val="22"/>
                <w:lang w:val="en-US" w:eastAsia="zh-CN"/>
              </w:rPr>
              <w:t>物流</w:t>
            </w:r>
            <w:r>
              <w:rPr>
                <w:rFonts w:hint="eastAsia" w:ascii="宋体" w:hAnsi="宋体" w:eastAsia="宋体" w:cs="宋体"/>
                <w:sz w:val="22"/>
                <w:szCs w:val="22"/>
                <w:lang w:eastAsia="zh-CN"/>
              </w:rPr>
              <w:t>集团；祥龙公司安全环保部</w:t>
            </w:r>
          </w:p>
        </w:tc>
      </w:tr>
      <w:tr w14:paraId="3CC4A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2083" w:type="dxa"/>
            <w:vAlign w:val="center"/>
          </w:tcPr>
          <w:p w14:paraId="5C18A3C4">
            <w:pPr>
              <w:spacing w:before="313" w:line="219" w:lineRule="auto"/>
              <w:ind w:left="555"/>
              <w:rPr>
                <w:rFonts w:ascii="宋体" w:hAnsi="宋体" w:eastAsia="宋体" w:cs="宋体"/>
                <w:sz w:val="24"/>
                <w:szCs w:val="24"/>
              </w:rPr>
            </w:pPr>
            <w:r>
              <w:rPr>
                <w:rFonts w:ascii="宋体" w:hAnsi="宋体" w:eastAsia="宋体" w:cs="宋体"/>
                <w:spacing w:val="-2"/>
                <w:sz w:val="24"/>
                <w:szCs w:val="24"/>
              </w:rPr>
              <w:t>整改目标</w:t>
            </w:r>
          </w:p>
        </w:tc>
        <w:tc>
          <w:tcPr>
            <w:tcW w:w="6457" w:type="dxa"/>
            <w:gridSpan w:val="2"/>
            <w:vAlign w:val="center"/>
          </w:tcPr>
          <w:p w14:paraId="29D979E9">
            <w:pPr>
              <w:pStyle w:val="12"/>
              <w:rPr>
                <w:rFonts w:ascii="宋体" w:hAnsi="宋体" w:eastAsia="宋体" w:cs="宋体"/>
                <w:sz w:val="24"/>
                <w:szCs w:val="24"/>
                <w:lang w:eastAsia="zh-CN"/>
              </w:rPr>
            </w:pPr>
            <w:r>
              <w:rPr>
                <w:rFonts w:hint="eastAsia" w:ascii="宋体" w:hAnsi="宋体" w:eastAsia="宋体" w:cs="宋体"/>
                <w:sz w:val="24"/>
                <w:szCs w:val="24"/>
                <w:lang w:eastAsia="zh-CN"/>
              </w:rPr>
              <w:t>加强对北臧地块管理，协调属地政府积极推进该地块环保问题整改，彻底清理非法生产经营活动。采取降尘措施，消除私设自备井、盗采地下水及污水直排等问题。</w:t>
            </w:r>
          </w:p>
        </w:tc>
      </w:tr>
      <w:tr w14:paraId="47A1D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2083" w:type="dxa"/>
            <w:vAlign w:val="center"/>
          </w:tcPr>
          <w:p w14:paraId="4361C2B3">
            <w:pPr>
              <w:spacing w:before="78" w:line="219" w:lineRule="auto"/>
              <w:ind w:left="555"/>
              <w:rPr>
                <w:rFonts w:ascii="宋体" w:hAnsi="宋体" w:eastAsia="宋体" w:cs="宋体"/>
                <w:sz w:val="24"/>
                <w:szCs w:val="24"/>
              </w:rPr>
            </w:pPr>
            <w:r>
              <w:rPr>
                <w:rFonts w:ascii="宋体" w:hAnsi="宋体" w:eastAsia="宋体" w:cs="宋体"/>
                <w:spacing w:val="2"/>
                <w:sz w:val="24"/>
                <w:szCs w:val="24"/>
              </w:rPr>
              <w:t>整改措施</w:t>
            </w:r>
          </w:p>
        </w:tc>
        <w:tc>
          <w:tcPr>
            <w:tcW w:w="6457" w:type="dxa"/>
            <w:gridSpan w:val="2"/>
            <w:vAlign w:val="center"/>
          </w:tcPr>
          <w:p w14:paraId="23C77E8A">
            <w:pPr>
              <w:pStyle w:val="12"/>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（一）2025年3月底前祥龙物流集团成立北臧工作专项小组，明确责任人与职责分工，协助地方政府，积极推进环保督察整改工作。</w:t>
            </w:r>
          </w:p>
          <w:p w14:paraId="5377CC02">
            <w:pPr>
              <w:pStyle w:val="12"/>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二）祥龙物流集团所属京南昌达公司会同法务部门，向大兴区北臧村镇政府报告该地块内违规堆存建筑垃圾及建筑骨料等事项。配合属地政府完成对园区内1家非法混凝土搅拌站和2条建筑垃圾破碎生产线的清理，拆除了相关设备并移出园区范围。后续将协助属地政府对园区内的2家汽修点完成清除。积极与属地政府对接，尽早实现对北臧地块的实控，做好对建筑垃圾、建筑骨料进行苫盖，抑制扬尘。</w:t>
            </w:r>
          </w:p>
          <w:p w14:paraId="5923EC34">
            <w:pPr>
              <w:pStyle w:val="12"/>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（三）关闭、拆除采水设备，停止盗采地下水行为。对接属地政府，协助清退园区内活动人员，解决园区内排污问题。</w:t>
            </w:r>
          </w:p>
          <w:p w14:paraId="59C13C8D">
            <w:pPr>
              <w:pStyle w:val="12"/>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（四）祥龙公司安全环保部将定期开展环保督导检查。</w:t>
            </w:r>
          </w:p>
        </w:tc>
      </w:tr>
      <w:tr w14:paraId="4AA8B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8" w:hRule="atLeast"/>
          <w:jc w:val="center"/>
        </w:trPr>
        <w:tc>
          <w:tcPr>
            <w:tcW w:w="2083" w:type="dxa"/>
            <w:vAlign w:val="center"/>
          </w:tcPr>
          <w:p w14:paraId="19779921">
            <w:pPr>
              <w:spacing w:before="78" w:line="242" w:lineRule="auto"/>
              <w:ind w:left="675" w:right="302" w:hanging="360"/>
              <w:rPr>
                <w:rFonts w:ascii="宋体" w:hAnsi="宋体" w:eastAsia="宋体" w:cs="宋体"/>
                <w:sz w:val="24"/>
                <w:szCs w:val="24"/>
              </w:rPr>
            </w:pPr>
            <w:r>
              <w:rPr>
                <w:rFonts w:ascii="宋体" w:hAnsi="宋体" w:eastAsia="宋体" w:cs="宋体"/>
                <w:spacing w:val="2"/>
                <w:sz w:val="24"/>
                <w:szCs w:val="24"/>
              </w:rPr>
              <w:t xml:space="preserve">整改主要工作 </w:t>
            </w:r>
            <w:r>
              <w:rPr>
                <w:rFonts w:ascii="宋体" w:hAnsi="宋体" w:eastAsia="宋体" w:cs="宋体"/>
                <w:spacing w:val="-2"/>
                <w:sz w:val="24"/>
                <w:szCs w:val="24"/>
              </w:rPr>
              <w:t>及成效</w:t>
            </w:r>
          </w:p>
        </w:tc>
        <w:tc>
          <w:tcPr>
            <w:tcW w:w="6457" w:type="dxa"/>
            <w:gridSpan w:val="2"/>
            <w:vAlign w:val="center"/>
          </w:tcPr>
          <w:p w14:paraId="27CC12D0">
            <w:pPr>
              <w:pStyle w:val="12"/>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为加强对北臧地块管理，协调属地政府积极推进该地块环保问题整改，彻底清理非法生产经营活动。北京祥龙京南昌达物流有限公司成立北臧工作专项小组，明确责任人与职责分工，协助地方政府，积极推进环保督察整改工作。</w:t>
            </w:r>
          </w:p>
          <w:p w14:paraId="44E17B97">
            <w:pPr>
              <w:pStyle w:val="12"/>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目前已完成对该地块的实际控制，清理了1家非法混凝土搅拌站、2条建筑垃圾破碎生产线、2家汽修点的人员、设备及临时房屋；拆除违规自备井取水设备，清退非法人员，彻底解决盗采地下水、污水直排问题，同时与北臧镇水务系统签订了供水协议，从园区外引入合规市政供水。针对违规堆存的建筑垃圾及建筑骨料，抑尘措施不到位，与属地北臧镇政府对接已确定土方形成时间为企业失管期间，由北臧镇政府对土方内部进行地质勘察并出具地质勘查报告，由企业配合属地完成土方外运的备案审批手续，属地负责对接用土单位完成部分土方外运工作，并对土堆裸露区域进行防尘网全面覆盖。</w:t>
            </w:r>
          </w:p>
        </w:tc>
      </w:tr>
      <w:tr w14:paraId="03044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9" w:hRule="atLeast"/>
          <w:jc w:val="center"/>
        </w:trPr>
        <w:tc>
          <w:tcPr>
            <w:tcW w:w="2083" w:type="dxa"/>
            <w:vAlign w:val="center"/>
          </w:tcPr>
          <w:p w14:paraId="5C61213F">
            <w:pPr>
              <w:spacing w:before="78" w:line="219" w:lineRule="auto"/>
              <w:ind w:left="555"/>
              <w:rPr>
                <w:rFonts w:ascii="宋体" w:hAnsi="宋体" w:eastAsia="宋体" w:cs="宋体"/>
                <w:sz w:val="24"/>
                <w:szCs w:val="24"/>
              </w:rPr>
            </w:pPr>
            <w:r>
              <w:rPr>
                <w:rFonts w:ascii="宋体" w:hAnsi="宋体" w:eastAsia="宋体" w:cs="宋体"/>
                <w:spacing w:val="5"/>
                <w:sz w:val="24"/>
                <w:szCs w:val="24"/>
              </w:rPr>
              <w:t>整改时间</w:t>
            </w:r>
          </w:p>
        </w:tc>
        <w:tc>
          <w:tcPr>
            <w:tcW w:w="6457" w:type="dxa"/>
            <w:gridSpan w:val="2"/>
            <w:vAlign w:val="center"/>
          </w:tcPr>
          <w:p w14:paraId="62DC121D">
            <w:pPr>
              <w:spacing w:before="78" w:line="219" w:lineRule="auto"/>
              <w:jc w:val="center"/>
              <w:rPr>
                <w:rFonts w:ascii="宋体" w:hAnsi="宋体" w:eastAsia="宋体" w:cs="宋体"/>
                <w:sz w:val="24"/>
                <w:szCs w:val="24"/>
              </w:rPr>
            </w:pP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月底，长期坚持</w:t>
            </w:r>
          </w:p>
        </w:tc>
      </w:tr>
      <w:tr w14:paraId="17B49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4" w:hRule="atLeast"/>
          <w:jc w:val="center"/>
        </w:trPr>
        <w:tc>
          <w:tcPr>
            <w:tcW w:w="2083" w:type="dxa"/>
            <w:vAlign w:val="center"/>
          </w:tcPr>
          <w:p w14:paraId="723CE174">
            <w:pPr>
              <w:pStyle w:val="12"/>
              <w:spacing w:line="317" w:lineRule="auto"/>
              <w:rPr>
                <w:lang w:eastAsia="zh-CN"/>
              </w:rPr>
            </w:pPr>
          </w:p>
          <w:p w14:paraId="010DEE4C">
            <w:pPr>
              <w:spacing w:before="78" w:line="260" w:lineRule="auto"/>
              <w:ind w:left="674" w:right="187" w:hanging="479"/>
              <w:rPr>
                <w:rFonts w:ascii="宋体" w:hAnsi="宋体" w:eastAsia="宋体" w:cs="宋体"/>
                <w:sz w:val="24"/>
                <w:szCs w:val="24"/>
                <w:lang w:eastAsia="zh-CN"/>
              </w:rPr>
            </w:pPr>
            <w:r>
              <w:rPr>
                <w:rFonts w:ascii="宋体" w:hAnsi="宋体" w:eastAsia="宋体" w:cs="宋体"/>
                <w:spacing w:val="1"/>
                <w:sz w:val="24"/>
                <w:szCs w:val="24"/>
                <w:lang w:eastAsia="zh-CN"/>
              </w:rPr>
              <w:t>社会监督联系人</w:t>
            </w:r>
            <w:r>
              <w:rPr>
                <w:rFonts w:ascii="宋体" w:hAnsi="宋体" w:eastAsia="宋体" w:cs="宋体"/>
                <w:spacing w:val="2"/>
                <w:sz w:val="24"/>
                <w:szCs w:val="24"/>
                <w:lang w:eastAsia="zh-CN"/>
              </w:rPr>
              <w:t xml:space="preserve"> </w:t>
            </w:r>
            <w:r>
              <w:rPr>
                <w:rFonts w:ascii="宋体" w:hAnsi="宋体" w:eastAsia="宋体" w:cs="宋体"/>
                <w:spacing w:val="-2"/>
                <w:sz w:val="24"/>
                <w:szCs w:val="24"/>
                <w:lang w:eastAsia="zh-CN"/>
              </w:rPr>
              <w:t>及电话</w:t>
            </w:r>
          </w:p>
        </w:tc>
        <w:tc>
          <w:tcPr>
            <w:tcW w:w="6457" w:type="dxa"/>
            <w:gridSpan w:val="2"/>
            <w:vAlign w:val="center"/>
          </w:tcPr>
          <w:p w14:paraId="528EA00F">
            <w:pPr>
              <w:spacing w:before="26" w:line="219"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李志楠。6</w:t>
            </w:r>
            <w:r>
              <w:rPr>
                <w:rFonts w:ascii="宋体" w:hAnsi="宋体" w:eastAsia="宋体" w:cs="宋体"/>
                <w:sz w:val="24"/>
                <w:szCs w:val="24"/>
                <w:lang w:eastAsia="zh-CN"/>
              </w:rPr>
              <w:t>6253625</w:t>
            </w:r>
          </w:p>
        </w:tc>
      </w:tr>
    </w:tbl>
    <w:p w14:paraId="5E5F87E3">
      <w:pPr>
        <w:spacing w:before="98" w:line="330" w:lineRule="auto"/>
        <w:ind w:right="155"/>
        <w:rPr>
          <w:rFonts w:ascii="宋体" w:hAnsi="宋体" w:eastAsia="宋体" w:cs="宋体"/>
          <w:sz w:val="25"/>
          <w:szCs w:val="25"/>
          <w:lang w:eastAsia="zh-CN"/>
        </w:rPr>
      </w:pPr>
    </w:p>
    <w:sectPr>
      <w:headerReference r:id="rId3" w:type="default"/>
      <w:footerReference r:id="rId4" w:type="default"/>
      <w:pgSz w:w="11910" w:h="16840"/>
      <w:pgMar w:top="1440" w:right="1800" w:bottom="1440" w:left="1800" w:header="850"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F51DD">
    <w:pPr>
      <w:spacing w:before="1" w:line="234" w:lineRule="auto"/>
      <w:ind w:left="300"/>
      <w:rPr>
        <w:rFonts w:ascii="宋体" w:hAnsi="宋体" w:eastAsia="宋体" w:cs="宋体"/>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8ED16">
    <w:pPr>
      <w:spacing w:before="81" w:line="224" w:lineRule="auto"/>
      <w:rPr>
        <w:rFonts w:ascii="黑体" w:hAnsi="黑体" w:eastAsia="黑体" w:cs="黑体"/>
        <w:sz w:val="31"/>
        <w:szCs w:val="3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F92"/>
    <w:rsid w:val="001846D5"/>
    <w:rsid w:val="001872B7"/>
    <w:rsid w:val="001B27D7"/>
    <w:rsid w:val="002046C0"/>
    <w:rsid w:val="00207642"/>
    <w:rsid w:val="005573D0"/>
    <w:rsid w:val="005F2F92"/>
    <w:rsid w:val="00710B64"/>
    <w:rsid w:val="007A6188"/>
    <w:rsid w:val="008A1DE2"/>
    <w:rsid w:val="009C7973"/>
    <w:rsid w:val="00A27D8E"/>
    <w:rsid w:val="00A67934"/>
    <w:rsid w:val="00AC3337"/>
    <w:rsid w:val="00B009D6"/>
    <w:rsid w:val="00B20E37"/>
    <w:rsid w:val="00C6679E"/>
    <w:rsid w:val="00C74F57"/>
    <w:rsid w:val="00CC439D"/>
    <w:rsid w:val="00D32199"/>
    <w:rsid w:val="00DF29DD"/>
    <w:rsid w:val="00DF3146"/>
    <w:rsid w:val="00E90B86"/>
    <w:rsid w:val="00EA4D65"/>
    <w:rsid w:val="00EF1DA4"/>
    <w:rsid w:val="00EF595E"/>
    <w:rsid w:val="00F73477"/>
    <w:rsid w:val="00FA0F63"/>
    <w:rsid w:val="176B4272"/>
    <w:rsid w:val="236741CC"/>
    <w:rsid w:val="563565ED"/>
    <w:rsid w:val="6F901222"/>
    <w:rsid w:val="75B97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 w:type="paragraph" w:styleId="3">
    <w:name w:val="Body Text Indent"/>
    <w:basedOn w:val="1"/>
    <w:link w:val="16"/>
    <w:semiHidden/>
    <w:unhideWhenUsed/>
    <w:qFormat/>
    <w:uiPriority w:val="99"/>
    <w:pPr>
      <w:spacing w:after="120"/>
      <w:ind w:left="420" w:leftChars="2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7">
    <w:name w:val="Body Text First Indent 2"/>
    <w:basedOn w:val="3"/>
    <w:link w:val="17"/>
    <w:semiHidden/>
    <w:unhideWhenUsed/>
    <w:qFormat/>
    <w:uiPriority w:val="99"/>
    <w:pPr>
      <w:ind w:firstLine="420" w:firstLineChars="200"/>
    </w:pPr>
  </w:style>
  <w:style w:type="table" w:styleId="9">
    <w:name w:val="Table Grid"/>
    <w:basedOn w:val="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eastAsia="Arial"/>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框文本 字符"/>
    <w:basedOn w:val="10"/>
    <w:link w:val="4"/>
    <w:semiHidden/>
    <w:qFormat/>
    <w:uiPriority w:val="99"/>
    <w:rPr>
      <w:sz w:val="18"/>
      <w:szCs w:val="18"/>
    </w:rPr>
  </w:style>
  <w:style w:type="character" w:customStyle="1" w:styleId="16">
    <w:name w:val="正文文本缩进 字符"/>
    <w:basedOn w:val="10"/>
    <w:link w:val="3"/>
    <w:semiHidden/>
    <w:qFormat/>
    <w:uiPriority w:val="99"/>
  </w:style>
  <w:style w:type="character" w:customStyle="1" w:styleId="17">
    <w:name w:val="正文文本首行缩进 2 字符"/>
    <w:basedOn w:val="16"/>
    <w:link w:val="7"/>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EC090-B28A-4A32-90A6-95788CF5807F}">
  <ds:schemaRefs/>
</ds:datastoreItem>
</file>

<file path=docProps/app.xml><?xml version="1.0" encoding="utf-8"?>
<Properties xmlns="http://schemas.openxmlformats.org/officeDocument/2006/extended-properties" xmlns:vt="http://schemas.openxmlformats.org/officeDocument/2006/docPropsVTypes">
  <Template>Normal</Template>
  <Pages>2</Pages>
  <Words>1066</Words>
  <Characters>1087</Characters>
  <Lines>8</Lines>
  <Paragraphs>2</Paragraphs>
  <TotalTime>0</TotalTime>
  <ScaleCrop>false</ScaleCrop>
  <LinksUpToDate>false</LinksUpToDate>
  <CharactersWithSpaces>1089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2025-08-05T00:39:00Z</dcterms:created>
  <dc:creator>glb aq</dc:creator>
  <cp:lastModifiedBy>李志楠</cp:lastModifiedBy>
  <cp:lastPrinted>2025-07-24T01:44:00Z</cp:lastPrinted>
  <dcterms:modified xsi:type="dcterms:W3CDTF">2026-01-07T05:39:09Z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2025-06-13T16:16:13Z</vt:filetime>
  </property>
  <property fmtid="{D5CDD505-2E9C-101B-9397-08002B2CF9AE}" pid="4" name="UsrData">
    <vt:lpwstr>684bde477ff865001f7e18e8wl</vt:lpwstr>
  </property>
  <property fmtid="{D5CDD505-2E9C-101B-9397-08002B2CF9AE}" pid="5" name="KSOTemplateDocerSaveRecord">
    <vt:lpwstr>eyJoZGlkIjoiY2RhMzhhODMzYWUwMWJjMjJhNDYzNjVlM2M4MzQ2OGUiLCJ1c2VySWQiOiIxNzY2OTY2NDI5In0=</vt:lpwstr>
  </property>
  <property fmtid="{D5CDD505-2E9C-101B-9397-08002B2CF9AE}" pid="6" name="KSOProductBuildVer">
    <vt:lpwstr>2052-12.1.0.24034</vt:lpwstr>
  </property>
  <property fmtid="{D5CDD505-2E9C-101B-9397-08002B2CF9AE}" pid="7" name="ICV">
    <vt:lpwstr>A730F647C8EB46D6A5E22EF22DE416AC_12</vt:lpwstr>
  </property>
</Properties>
</file>